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4"/>
        <w:jc w:val="left"/>
        <w:rPr>
          <w:rStyle w:val="14"/>
          <w:rFonts w:ascii="黑体" w:hAnsi="黑体" w:eastAsia="黑体"/>
          <w:spacing w:val="-6"/>
          <w:sz w:val="32"/>
          <w:szCs w:val="32"/>
        </w:rPr>
      </w:pPr>
      <w:bookmarkStart w:id="0" w:name="_GoBack"/>
      <w:bookmarkEnd w:id="0"/>
      <w:r>
        <w:rPr>
          <w:rStyle w:val="14"/>
          <w:rFonts w:hint="eastAsia" w:ascii="黑体" w:hAnsi="黑体" w:eastAsia="黑体"/>
          <w:spacing w:val="-6"/>
          <w:sz w:val="32"/>
          <w:szCs w:val="32"/>
        </w:rPr>
        <w:t>附件2</w:t>
      </w:r>
    </w:p>
    <w:p>
      <w:pPr>
        <w:spacing w:line="560" w:lineRule="exact"/>
        <w:ind w:right="214"/>
        <w:jc w:val="left"/>
        <w:rPr>
          <w:rStyle w:val="14"/>
          <w:rFonts w:ascii="黑体" w:hAnsi="黑体" w:eastAsia="黑体"/>
          <w:spacing w:val="-6"/>
          <w:sz w:val="32"/>
          <w:szCs w:val="32"/>
        </w:rPr>
      </w:pPr>
    </w:p>
    <w:p>
      <w:pPr>
        <w:spacing w:before="156" w:beforeLines="50" w:after="156" w:afterLines="50"/>
        <w:jc w:val="left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>“第五届全国铸造模具技术学术交流会议论文集”论文模板</w:t>
      </w:r>
    </w:p>
    <w:p>
      <w:pPr>
        <w:jc w:val="center"/>
        <w:rPr>
          <w:rFonts w:ascii="Times New Roman" w:hAnsi="Times New Roman" w:eastAsia="楷体"/>
          <w:sz w:val="18"/>
          <w:szCs w:val="18"/>
        </w:rPr>
      </w:pPr>
      <w:r>
        <w:rPr>
          <w:rFonts w:hint="eastAsia" w:ascii="Times New Roman" w:hAnsi="Times New Roman" w:eastAsia="楷体"/>
          <w:sz w:val="18"/>
          <w:szCs w:val="18"/>
        </w:rPr>
        <w:t>张三</w:t>
      </w:r>
      <w:r>
        <w:rPr>
          <w:rFonts w:hint="eastAsia" w:ascii="Times New Roman" w:hAnsi="Times New Roman" w:eastAsia="楷体"/>
          <w:sz w:val="18"/>
          <w:szCs w:val="18"/>
          <w:vertAlign w:val="superscript"/>
        </w:rPr>
        <w:t>1</w:t>
      </w:r>
      <w:r>
        <w:rPr>
          <w:rFonts w:hint="eastAsia" w:ascii="Times New Roman" w:hAnsi="Times New Roman" w:eastAsia="楷体"/>
          <w:sz w:val="18"/>
          <w:szCs w:val="18"/>
        </w:rPr>
        <w:t xml:space="preserve">   李四</w:t>
      </w:r>
      <w:r>
        <w:rPr>
          <w:rFonts w:ascii="Times New Roman" w:hAnsi="Times New Roman" w:eastAsia="楷体"/>
          <w:sz w:val="18"/>
          <w:szCs w:val="18"/>
          <w:vertAlign w:val="superscript"/>
        </w:rPr>
        <w:t>2</w:t>
      </w:r>
      <w:r>
        <w:rPr>
          <w:rFonts w:hint="eastAsia" w:ascii="Times New Roman" w:hAnsi="Times New Roman" w:eastAsia="楷体"/>
          <w:sz w:val="18"/>
          <w:szCs w:val="18"/>
        </w:rPr>
        <w:t xml:space="preserve">   王五</w:t>
      </w:r>
      <w:r>
        <w:rPr>
          <w:rFonts w:hint="eastAsia" w:ascii="Times New Roman" w:hAnsi="Times New Roman" w:eastAsia="楷体"/>
          <w:sz w:val="18"/>
          <w:szCs w:val="18"/>
          <w:vertAlign w:val="superscript"/>
        </w:rPr>
        <w:t>1,2</w:t>
      </w:r>
    </w:p>
    <w:p>
      <w:pPr>
        <w:jc w:val="center"/>
        <w:rPr>
          <w:rFonts w:ascii="Times New Roman" w:hAnsi="Times New Roman" w:eastAsia="楷体"/>
          <w:sz w:val="18"/>
          <w:szCs w:val="18"/>
        </w:rPr>
      </w:pPr>
      <w:r>
        <w:rPr>
          <w:rFonts w:hint="eastAsia" w:ascii="Times New Roman" w:hAnsi="Times New Roman" w:eastAsia="楷体"/>
          <w:sz w:val="18"/>
          <w:szCs w:val="18"/>
        </w:rPr>
        <w:t>（1.xxxxxx公司；2.xxxxxx公司）</w:t>
      </w:r>
    </w:p>
    <w:p>
      <w:pPr>
        <w:rPr>
          <w:rFonts w:ascii="Times New Roman" w:hAnsi="Times New Roman"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摘要：</w:t>
      </w:r>
      <w:r>
        <w:rPr>
          <w:rFonts w:ascii="宋体" w:hAnsi="宋体"/>
          <w:sz w:val="18"/>
          <w:szCs w:val="18"/>
        </w:rPr>
        <w:t>本文主要</w:t>
      </w:r>
      <w:r>
        <w:rPr>
          <w:rFonts w:hint="eastAsia" w:ascii="宋体" w:hAnsi="宋体"/>
          <w:sz w:val="18"/>
          <w:szCs w:val="18"/>
        </w:rPr>
        <w:t>介绍了《第五届全国铸造模具技术学术交流会议论文集》论文</w:t>
      </w:r>
      <w:r>
        <w:rPr>
          <w:rFonts w:ascii="宋体" w:hAnsi="宋体"/>
          <w:sz w:val="18"/>
          <w:szCs w:val="18"/>
        </w:rPr>
        <w:t>的投稿要求</w:t>
      </w:r>
      <w:r>
        <w:rPr>
          <w:rFonts w:hint="eastAsia" w:ascii="Times New Roman" w:hAnsi="Times New Roman"/>
          <w:sz w:val="18"/>
          <w:szCs w:val="18"/>
        </w:rPr>
        <w:t>……</w:t>
      </w:r>
    </w:p>
    <w:p>
      <w:pPr>
        <w:rPr>
          <w:rFonts w:ascii="黑体" w:hAnsi="黑体"/>
          <w:b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关键词</w:t>
      </w:r>
      <w:r>
        <w:rPr>
          <w:rFonts w:ascii="黑体" w:hAnsi="黑体" w:eastAsia="黑体"/>
          <w:b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</w:rPr>
        <w:t>稿件</w:t>
      </w:r>
      <w:r>
        <w:rPr>
          <w:rFonts w:ascii="宋体" w:hAnsi="宋体"/>
          <w:sz w:val="18"/>
          <w:szCs w:val="18"/>
        </w:rPr>
        <w:t>要求；</w:t>
      </w:r>
      <w:r>
        <w:rPr>
          <w:rFonts w:hint="eastAsia" w:ascii="宋体" w:hAnsi="宋体"/>
          <w:sz w:val="18"/>
          <w:szCs w:val="18"/>
        </w:rPr>
        <w:t>铸造模具；xxx</w:t>
      </w:r>
    </w:p>
    <w:p>
      <w:pPr>
        <w:rPr>
          <w:rFonts w:ascii="Times New Roman" w:hAnsi="Times New Roman"/>
          <w:sz w:val="18"/>
          <w:szCs w:val="18"/>
        </w:rPr>
      </w:pPr>
    </w:p>
    <w:p>
      <w:pPr>
        <w:spacing w:before="156" w:beforeLines="50" w:after="156" w:afterLines="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Contribution Requirements of Special Casting and Nonferrous Alloy</w:t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Zhang San</w:t>
      </w:r>
      <w:r>
        <w:rPr>
          <w:rFonts w:ascii="Times New Roman" w:hAnsi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  <w:szCs w:val="18"/>
        </w:rPr>
        <w:t>, Li Si</w:t>
      </w:r>
      <w:r>
        <w:rPr>
          <w:rFonts w:ascii="Times New Roman" w:hAnsi="Times New Roman"/>
          <w:sz w:val="18"/>
          <w:szCs w:val="18"/>
          <w:vertAlign w:val="superscript"/>
        </w:rPr>
        <w:t>2</w:t>
      </w:r>
      <w:r>
        <w:rPr>
          <w:rFonts w:ascii="Times New Roman" w:hAnsi="Times New Roman"/>
          <w:sz w:val="18"/>
          <w:szCs w:val="18"/>
        </w:rPr>
        <w:t>, Wang Wu</w:t>
      </w:r>
      <w:r>
        <w:rPr>
          <w:rFonts w:ascii="Times New Roman" w:hAnsi="Times New Roman"/>
          <w:sz w:val="18"/>
          <w:szCs w:val="18"/>
          <w:vertAlign w:val="superscript"/>
        </w:rPr>
        <w:t xml:space="preserve">1,2 </w:t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(1.Journal of Special Casting and Nonferrous Alloy</w:t>
      </w:r>
      <w:r>
        <w:rPr>
          <w:rFonts w:hint="eastAsia" w:ascii="Times New Roman" w:hAnsi="Times New Roman"/>
          <w:sz w:val="18"/>
          <w:szCs w:val="18"/>
        </w:rPr>
        <w:t>;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hint="eastAsia" w:ascii="Times New Roman" w:hAnsi="Times New Roman"/>
          <w:sz w:val="18"/>
          <w:szCs w:val="18"/>
        </w:rPr>
        <w:t>2.</w:t>
      </w:r>
      <w:r>
        <w:t xml:space="preserve"> </w:t>
      </w:r>
      <w:r>
        <w:rPr>
          <w:rFonts w:ascii="Times New Roman" w:hAnsi="Times New Roman"/>
          <w:sz w:val="18"/>
          <w:szCs w:val="18"/>
        </w:rPr>
        <w:t>Wuhan Industrial Control Technology Research Institute Co., Ltd.)</w:t>
      </w:r>
    </w:p>
    <w:p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Abstract：</w:t>
      </w:r>
      <w:r>
        <w:rPr>
          <w:rFonts w:ascii="Times New Roman" w:hAnsi="Times New Roman"/>
          <w:sz w:val="18"/>
          <w:szCs w:val="18"/>
        </w:rPr>
        <w:t xml:space="preserve">This paper mainly introduces the </w:t>
      </w:r>
      <w:r>
        <w:rPr>
          <w:rFonts w:hint="eastAsia" w:ascii="Times New Roman" w:hAnsi="Times New Roman"/>
          <w:sz w:val="18"/>
          <w:szCs w:val="18"/>
        </w:rPr>
        <w:t>Contribution Requirements of 5th National Conference on Casting Mold and its Technology</w:t>
      </w:r>
      <w:r>
        <w:rPr>
          <w:rFonts w:ascii="Times New Roman" w:hAnsi="Times New Roman"/>
          <w:sz w:val="18"/>
          <w:szCs w:val="18"/>
        </w:rPr>
        <w:t>……</w:t>
      </w:r>
    </w:p>
    <w:p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Key Words:</w:t>
      </w:r>
      <w:r>
        <w:t xml:space="preserve"> </w:t>
      </w:r>
      <w:r>
        <w:rPr>
          <w:rFonts w:ascii="Times New Roman" w:hAnsi="Times New Roman"/>
          <w:sz w:val="18"/>
          <w:szCs w:val="18"/>
        </w:rPr>
        <w:t>Manuscript Requirements,Special Casting,Nonferrous Alloy</w:t>
      </w:r>
    </w:p>
    <w:p>
      <w:pPr>
        <w:rPr>
          <w:rFonts w:ascii="Times New Roman" w:hAnsi="Times New Roman"/>
          <w:sz w:val="18"/>
          <w:szCs w:val="18"/>
        </w:rPr>
      </w:pPr>
    </w:p>
    <w:p>
      <w:pPr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本文主要介绍了《第五届全国铸造模具技术学术交流会议论文集》论文的投稿要求………</w:t>
      </w:r>
    </w:p>
    <w:p>
      <w:pPr>
        <w:ind w:firstLine="420" w:firstLineChars="200"/>
        <w:rPr>
          <w:rFonts w:ascii="Times New Roman" w:hAnsi="Times New Roman"/>
          <w:szCs w:val="21"/>
        </w:rPr>
      </w:pPr>
    </w:p>
    <w:p>
      <w:pPr>
        <w:spacing w:before="156" w:beforeLines="50" w:after="156" w:afterLines="5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 《第五届全国铸造模具技术学术交流会议论文集》论文</w:t>
      </w:r>
      <w:r>
        <w:rPr>
          <w:rFonts w:ascii="华文仿宋" w:hAnsi="华文仿宋" w:eastAsia="华文仿宋"/>
          <w:sz w:val="28"/>
          <w:szCs w:val="28"/>
        </w:rPr>
        <w:t>页面要求</w:t>
      </w:r>
    </w:p>
    <w:p>
      <w:pPr>
        <w:spacing w:before="156" w:beforeLines="50" w:after="156" w:afterLines="50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t xml:space="preserve">1.1 </w:t>
      </w:r>
      <w:r>
        <w:rPr>
          <w:rFonts w:hint="eastAsia" w:ascii="黑体" w:hAnsi="黑体" w:eastAsia="黑体"/>
          <w:b/>
          <w:sz w:val="24"/>
          <w:szCs w:val="24"/>
        </w:rPr>
        <w:t>页</w:t>
      </w:r>
      <w:r>
        <w:rPr>
          <w:rFonts w:ascii="黑体" w:hAnsi="黑体" w:eastAsia="黑体"/>
          <w:b/>
          <w:sz w:val="24"/>
          <w:szCs w:val="24"/>
        </w:rPr>
        <w:t>边距要求</w:t>
      </w:r>
    </w:p>
    <w:p>
      <w:pPr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1.1.1页边距</w:t>
      </w:r>
      <w:r>
        <w:rPr>
          <w:rFonts w:ascii="黑体" w:hAnsi="黑体" w:eastAsia="黑体"/>
          <w:b/>
          <w:szCs w:val="21"/>
        </w:rPr>
        <w:t>设置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结晶器内钢液区域几何模型及网格划分见图１。</w:t>
      </w:r>
    </w:p>
    <w:p>
      <w:pPr>
        <w:jc w:val="center"/>
      </w:pPr>
      <w:r>
        <w:drawing>
          <wp:inline distT="0" distB="0" distL="114300" distR="114300">
            <wp:extent cx="3159125" cy="1551305"/>
            <wp:effectExtent l="0" t="0" r="3175" b="1079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24200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（ａ）流体计算区域几何尺寸（ｂ）流体计算区域网格划分</w:t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图１ 结晶器钢液区域及网格划分</w:t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Fig</w:t>
      </w:r>
      <w:r>
        <w:rPr>
          <w:rFonts w:ascii="Times New Roman" w:hAnsi="Times New Roman"/>
          <w:sz w:val="18"/>
          <w:szCs w:val="18"/>
        </w:rPr>
        <w:t>.1 Liquid steel region and meshment of the crystallizer</w:t>
      </w:r>
    </w:p>
    <w:p>
      <w:pPr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表１为数值模拟过程的相关工艺和物性参数。</w:t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表１　数值模拟参数</w:t>
      </w:r>
    </w:p>
    <w:p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Tab.1 Numerical simulation parameters</w:t>
      </w:r>
    </w:p>
    <w:p>
      <w:pPr>
        <w:jc w:val="center"/>
      </w:pPr>
      <w:r>
        <w:drawing>
          <wp:inline distT="0" distB="0" distL="114300" distR="114300">
            <wp:extent cx="5275580" cy="66484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3101340" cy="721360"/>
            <wp:effectExtent l="0" t="0" r="3810" b="25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EBEAEE"/>
        <w:spacing w:before="0" w:beforeAutospacing="0" w:line="330" w:lineRule="atLeast"/>
        <w:ind w:firstLine="360"/>
        <w:jc w:val="both"/>
        <w:rPr>
          <w:rFonts w:ascii="楷体_gb2312" w:eastAsia="楷体_gb2312"/>
          <w:color w:val="666666"/>
          <w:sz w:val="21"/>
          <w:szCs w:val="21"/>
        </w:rPr>
      </w:pPr>
    </w:p>
    <w:p>
      <w:pPr>
        <w:pStyle w:val="7"/>
        <w:shd w:val="clear" w:color="auto" w:fill="EBEAEE"/>
        <w:spacing w:before="0" w:beforeAutospacing="0" w:line="330" w:lineRule="atLeast"/>
        <w:ind w:firstLine="360"/>
        <w:jc w:val="both"/>
        <w:rPr>
          <w:rFonts w:ascii="楷体_gb2312" w:eastAsia="楷体_gb2312"/>
          <w:color w:val="666666"/>
          <w:sz w:val="28"/>
          <w:szCs w:val="2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文层次标题应简短明确，各层次序号依次为“1”，“1.1”，“1.1.1”等，一律左顶格，后空一格写标题。若“1.1.1”后还有小层次，或不是标题而为分项叙述时用(1)、(2)……，每项序号另起行。若串入文中接排时用①、②……。</w:t>
      </w:r>
    </w:p>
    <w:p>
      <w:pPr>
        <w:pStyle w:val="7"/>
        <w:shd w:val="clear" w:color="auto" w:fill="EBEAEE"/>
        <w:spacing w:before="0" w:beforeAutospacing="0" w:after="0" w:afterAutospacing="0"/>
        <w:ind w:firstLine="357"/>
        <w:jc w:val="center"/>
        <w:rPr>
          <w:rFonts w:ascii="楷体_gb2312" w:eastAsia="楷体_gb2312"/>
          <w:color w:val="666666"/>
          <w:sz w:val="28"/>
          <w:szCs w:val="28"/>
        </w:rPr>
      </w:pPr>
    </w:p>
    <w:p>
      <w:pPr>
        <w:pStyle w:val="7"/>
        <w:shd w:val="clear" w:color="auto" w:fill="EBEAEE"/>
        <w:spacing w:before="0" w:beforeAutospacing="0" w:after="0" w:afterAutospacing="0"/>
        <w:ind w:firstLine="357"/>
        <w:jc w:val="center"/>
        <w:rPr>
          <w:color w:val="666666"/>
          <w:sz w:val="28"/>
          <w:szCs w:val="28"/>
        </w:rPr>
      </w:pPr>
      <w:r>
        <w:rPr>
          <w:rFonts w:hint="eastAsia" w:ascii="楷体_gb2312" w:eastAsia="楷体_gb2312"/>
          <w:color w:val="666666"/>
          <w:sz w:val="28"/>
          <w:szCs w:val="28"/>
        </w:rPr>
        <w:t>参考文献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(1) 专著</w:t>
      </w:r>
      <w:r>
        <w:rPr>
          <w:rFonts w:ascii="楷体_gb2312" w:eastAsia="楷体_gb2312"/>
          <w:color w:val="666666"/>
          <w:sz w:val="21"/>
          <w:szCs w:val="21"/>
        </w:rPr>
        <w:t xml:space="preserve">  </w:t>
      </w:r>
      <w:r>
        <w:rPr>
          <w:rFonts w:hint="eastAsia" w:ascii="楷体_gb2312" w:eastAsia="楷体_gb2312"/>
          <w:color w:val="666666"/>
          <w:sz w:val="21"/>
          <w:szCs w:val="21"/>
        </w:rPr>
        <w:t>著者．书名[文献类型标志]．出版地：出版单位，出版年．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(2) 译著  原著者．书名[文献类型标志]．译者．出版地：出版单位，出版年．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(3) 专著中析出的文献  作者．题名[文献类型标志]．//著者．书名．出版地：出版单位，出版年．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(4) 论文集中析出的文献  编者．文集名[文献类型标志]．出版地：出版单位，出版年．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(5) 会议论文  作者．题名．会议名称，会址，会议年份[文献类型标志]．出版地：出版单位，出版年．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(6) 期刊中析出的文献  作者．题名[文献类型标志]．刊名，年，卷(期)：起止页．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(7) 报纸中析出的文献  作者．题名[文献类型标志]．报纸名，年-月-日(版次)．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(8) 专利文献  专利申请者．专利题名：专利国别，专利号[文献类型标志]．年-月-日．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(9) 技术标准  标准代号  标准顺序号——发布年．标准名称[文献类型标志]．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(10)学位论文  作者．题名[文献类型标志]．保存地：保存者，年份．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(11)电子文献  作者．题名[文献类型标志/文献载体标志]．出版地：出版单位，出版年（更新或修改日期）[引用日期]．获取和访问路径．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附1：文献类型和标志代码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普通图书：M；会议录：C；汇编：G；报纸：N；期刊：J；学位论文：D；报告：R；标准：S；专利：P；数据库：DB；计算机程序：CP；电子公告：EB。</w:t>
      </w:r>
    </w:p>
    <w:p>
      <w:pPr>
        <w:pStyle w:val="7"/>
        <w:shd w:val="clear" w:color="auto" w:fill="EBEAEE"/>
        <w:spacing w:before="0" w:beforeAutospacing="0" w:after="0" w:afterAutospacing="0"/>
        <w:rPr>
          <w:color w:val="666666"/>
          <w:sz w:val="18"/>
          <w:szCs w:val="18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附2：电子文献载体和标志代码</w:t>
      </w:r>
    </w:p>
    <w:p>
      <w:pPr>
        <w:pStyle w:val="7"/>
        <w:shd w:val="clear" w:color="auto" w:fill="EBEAEE"/>
        <w:spacing w:before="0" w:beforeAutospacing="0" w:after="0" w:afterAutospacing="0"/>
        <w:rPr>
          <w:rFonts w:ascii="楷体_gb2312" w:eastAsia="楷体_gb2312"/>
          <w:color w:val="666666"/>
          <w:sz w:val="21"/>
          <w:szCs w:val="21"/>
        </w:rPr>
      </w:pPr>
      <w:r>
        <w:rPr>
          <w:rFonts w:hint="eastAsia" w:ascii="楷体_gb2312" w:eastAsia="楷体_gb2312"/>
          <w:color w:val="666666"/>
          <w:sz w:val="21"/>
          <w:szCs w:val="21"/>
        </w:rPr>
        <w:t>磁盘：MT（magnetic tape）；磁盘（disk）：DK；光盘（CD-ROM）：CD；联机网络（online）：OL</w:t>
      </w:r>
    </w:p>
    <w:p>
      <w:pPr>
        <w:pStyle w:val="7"/>
        <w:shd w:val="clear" w:color="auto" w:fill="EBEAEE"/>
        <w:spacing w:before="0" w:beforeAutospacing="0" w:after="0" w:afterAutospacing="0"/>
        <w:rPr>
          <w:b/>
          <w:color w:val="FF0000"/>
          <w:sz w:val="18"/>
          <w:szCs w:val="18"/>
        </w:rPr>
      </w:pPr>
    </w:p>
    <w:p>
      <w:pPr>
        <w:pStyle w:val="7"/>
        <w:shd w:val="clear" w:color="auto" w:fill="EBEAEE"/>
        <w:spacing w:before="0" w:beforeAutospacing="0" w:after="0" w:afterAutospacing="0"/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示例：</w:t>
      </w:r>
    </w:p>
    <w:p>
      <w:pPr>
        <w:pStyle w:val="7"/>
        <w:shd w:val="clear" w:color="auto" w:fill="EBEAEE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</w:p>
    <w:p>
      <w:pPr>
        <w:pStyle w:val="7"/>
        <w:shd w:val="clear" w:color="auto" w:fill="EBEAEE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[1] HARTLIEB M. High integrity die casting for structural application[A]. Imdc Meeting[C]. WPI，Worcester, 2013.</w:t>
      </w:r>
    </w:p>
    <w:p>
      <w:pPr>
        <w:pStyle w:val="7"/>
        <w:shd w:val="clear" w:color="auto" w:fill="EBEAEE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[2] GOWRI S,SAMUEL F H. Effect of Mg on the solidification behav-ior of two Al-Si-Cu- Fe-Mg ( A380) diecasting alloys[J]. T ransac-tions of the American Foundry Mens Society，1993，101: 611-618.</w:t>
      </w:r>
    </w:p>
    <w:p>
      <w:pPr>
        <w:pStyle w:val="7"/>
        <w:shd w:val="clear" w:color="auto" w:fill="EBEAEE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[3] 朱锐祥，秦新宇,胡南,等.ADC12压铸铝合金成分优化的研究[J].</w:t>
      </w:r>
      <w:r>
        <w:rPr>
          <w:rFonts w:hint="eastAsia" w:ascii="Times New Roman" w:hAnsi="Times New Roman"/>
          <w:sz w:val="18"/>
          <w:szCs w:val="18"/>
        </w:rPr>
        <w:t>材料研究与应用，</w:t>
      </w:r>
      <w:r>
        <w:rPr>
          <w:rFonts w:ascii="Times New Roman" w:hAnsi="Times New Roman"/>
          <w:sz w:val="18"/>
          <w:szCs w:val="18"/>
        </w:rPr>
        <w:t>2018，12(4): 267-273.</w:t>
      </w:r>
    </w:p>
    <w:p>
      <w:pPr>
        <w:pStyle w:val="7"/>
        <w:shd w:val="clear" w:color="auto" w:fill="EBEAEE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[4] 唐剑,王德满,刘静安,等.铝合金熔炼与铸造技术[M].北京:冶金</w:t>
      </w:r>
      <w:r>
        <w:rPr>
          <w:rFonts w:hint="eastAsia" w:ascii="Times New Roman" w:hAnsi="Times New Roman"/>
          <w:sz w:val="18"/>
          <w:szCs w:val="18"/>
        </w:rPr>
        <w:t>工业出版社，</w:t>
      </w:r>
      <w:r>
        <w:rPr>
          <w:rFonts w:ascii="Times New Roman" w:hAnsi="Times New Roman"/>
          <w:sz w:val="18"/>
          <w:szCs w:val="18"/>
        </w:rPr>
        <w:t>2009.</w:t>
      </w:r>
    </w:p>
    <w:p>
      <w:pPr>
        <w:pStyle w:val="7"/>
        <w:shd w:val="clear" w:color="auto" w:fill="EBEAEE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[5] JIS H.5302:Aluminum Alloy Die Casting[D]. Tokyo: JSA,2006.</w:t>
      </w:r>
    </w:p>
    <w:p>
      <w:pPr>
        <w:pStyle w:val="7"/>
        <w:shd w:val="clear" w:color="auto" w:fill="EBEAEE"/>
        <w:spacing w:before="0" w:beforeAutospacing="0" w:after="0" w:afterAutospacing="0"/>
        <w:rPr>
          <w:rFonts w:ascii="黑体" w:hAnsi="黑体" w:eastAsia="黑体"/>
          <w:b/>
          <w:szCs w:val="21"/>
        </w:rPr>
      </w:pPr>
      <w:r>
        <w:rPr>
          <w:rFonts w:ascii="Times New Roman" w:hAnsi="Times New Roman" w:eastAsia="Microsoft Yi Baiti" w:cs="Times New Roman"/>
          <w:sz w:val="18"/>
          <w:szCs w:val="18"/>
        </w:rPr>
        <w:t>[6]</w:t>
      </w:r>
      <w:r>
        <w:t xml:space="preserve"> </w:t>
      </w:r>
      <w:r>
        <w:rPr>
          <w:rFonts w:ascii="Times New Roman" w:hAnsi="Times New Roman" w:eastAsia="Microsoft Yi Baiti" w:cs="Times New Roman"/>
          <w:sz w:val="18"/>
          <w:szCs w:val="18"/>
        </w:rPr>
        <w:t>WAN D Q, LUO X, LIU YJ, et al. Quasicrystal dissolution andperformance of isothermally heat- treated Mg- Zn- Y alloy[J]. RareMetal, 2015, 34(7): 452-456.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3FE231-0D05-45C3-A520-57711179ED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C263BA-76A4-4C23-8E09-517D401B0F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944207-FD62-41A4-AB9D-BF960A475F38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2F4866BD-82C7-457D-826F-DED98710F0D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05C1DCC-B624-4D1F-8FBF-26E5DCB1430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C1B470A-C748-4690-9533-E9F756A62DAB}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7" w:fontKey="{53F4724B-1592-4192-8ADC-C037473FE65F}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  <w:embedRegular r:id="rId8" w:fontKey="{1629C67F-6FD7-4458-B8CD-543804A85E9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>
        <w:pPr>
          <w:pStyle w:val="4"/>
          <w:wordWrap w:val="0"/>
          <w:jc w:val="right"/>
          <w:rPr>
            <w:rStyle w:val="14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ind w:firstLine="180" w:firstLineChars="100"/>
          <w:rPr>
            <w:rStyle w:val="14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  <w:docVar w:name="KSO_WPS_MARK_KEY" w:val="a32c5f14-ebdf-4787-a146-f63cf3fe5cca"/>
  </w:docVars>
  <w:rsids>
    <w:rsidRoot w:val="00554D75"/>
    <w:rsid w:val="00004052"/>
    <w:rsid w:val="00117A76"/>
    <w:rsid w:val="001D04B3"/>
    <w:rsid w:val="001F0E1D"/>
    <w:rsid w:val="00250995"/>
    <w:rsid w:val="002F750C"/>
    <w:rsid w:val="003145C2"/>
    <w:rsid w:val="00431D5B"/>
    <w:rsid w:val="004479D6"/>
    <w:rsid w:val="00451F05"/>
    <w:rsid w:val="004943E7"/>
    <w:rsid w:val="004C5D9F"/>
    <w:rsid w:val="00554D75"/>
    <w:rsid w:val="0056215A"/>
    <w:rsid w:val="00595934"/>
    <w:rsid w:val="00612329"/>
    <w:rsid w:val="006368A1"/>
    <w:rsid w:val="0064185E"/>
    <w:rsid w:val="006B704A"/>
    <w:rsid w:val="006D5908"/>
    <w:rsid w:val="006E4777"/>
    <w:rsid w:val="006F5B0C"/>
    <w:rsid w:val="007061BC"/>
    <w:rsid w:val="00706A8A"/>
    <w:rsid w:val="007607C3"/>
    <w:rsid w:val="007636EF"/>
    <w:rsid w:val="00781CB0"/>
    <w:rsid w:val="007B152B"/>
    <w:rsid w:val="007D5641"/>
    <w:rsid w:val="007F7CDE"/>
    <w:rsid w:val="00853107"/>
    <w:rsid w:val="00863B59"/>
    <w:rsid w:val="00872D32"/>
    <w:rsid w:val="0088667F"/>
    <w:rsid w:val="0095000F"/>
    <w:rsid w:val="009962FE"/>
    <w:rsid w:val="009C4D44"/>
    <w:rsid w:val="009F7C90"/>
    <w:rsid w:val="00A57F68"/>
    <w:rsid w:val="00AA1125"/>
    <w:rsid w:val="00AC7CF9"/>
    <w:rsid w:val="00B05838"/>
    <w:rsid w:val="00B078DF"/>
    <w:rsid w:val="00B12D60"/>
    <w:rsid w:val="00B15335"/>
    <w:rsid w:val="00B5572F"/>
    <w:rsid w:val="00C17D05"/>
    <w:rsid w:val="00C36051"/>
    <w:rsid w:val="00C74879"/>
    <w:rsid w:val="00CC4DDA"/>
    <w:rsid w:val="00D57FD5"/>
    <w:rsid w:val="00D97911"/>
    <w:rsid w:val="00E33DAE"/>
    <w:rsid w:val="00F0479B"/>
    <w:rsid w:val="00F958D6"/>
    <w:rsid w:val="01DF1DF8"/>
    <w:rsid w:val="15EC749C"/>
    <w:rsid w:val="1D455D7F"/>
    <w:rsid w:val="22915197"/>
    <w:rsid w:val="3139239E"/>
    <w:rsid w:val="365C313C"/>
    <w:rsid w:val="495759B5"/>
    <w:rsid w:val="4C7316B1"/>
    <w:rsid w:val="51932EE3"/>
    <w:rsid w:val="53B27AA2"/>
    <w:rsid w:val="5B994D32"/>
    <w:rsid w:val="62371479"/>
    <w:rsid w:val="637676F1"/>
    <w:rsid w:val="69B036C0"/>
    <w:rsid w:val="7811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3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4">
    <w:name w:val="NormalCharacter"/>
    <w:qFormat/>
    <w:uiPriority w:val="0"/>
  </w:style>
  <w:style w:type="table" w:customStyle="1" w:styleId="15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脚 字符"/>
    <w:basedOn w:val="14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眉 字符"/>
    <w:basedOn w:val="14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UserStyle_2"/>
    <w:basedOn w:val="14"/>
    <w:qFormat/>
    <w:uiPriority w:val="0"/>
  </w:style>
  <w:style w:type="character" w:customStyle="1" w:styleId="19">
    <w:name w:val="UserStyle_3"/>
    <w:basedOn w:val="14"/>
    <w:link w:val="20"/>
    <w:qFormat/>
    <w:uiPriority w:val="0"/>
    <w:rPr>
      <w:kern w:val="2"/>
      <w:sz w:val="18"/>
      <w:szCs w:val="18"/>
    </w:rPr>
  </w:style>
  <w:style w:type="paragraph" w:customStyle="1" w:styleId="20">
    <w:name w:val="Acetate"/>
    <w:basedOn w:val="1"/>
    <w:link w:val="19"/>
    <w:qFormat/>
    <w:uiPriority w:val="0"/>
    <w:rPr>
      <w:sz w:val="18"/>
      <w:szCs w:val="18"/>
    </w:rPr>
  </w:style>
  <w:style w:type="paragraph" w:customStyle="1" w:styleId="21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2">
    <w:name w:val="179"/>
    <w:basedOn w:val="1"/>
    <w:qFormat/>
    <w:uiPriority w:val="0"/>
    <w:pPr>
      <w:spacing w:before="43"/>
      <w:ind w:left="991" w:hanging="350"/>
    </w:pPr>
  </w:style>
  <w:style w:type="paragraph" w:customStyle="1" w:styleId="23">
    <w:name w:val="UserStyle_4"/>
    <w:basedOn w:val="1"/>
    <w:qFormat/>
    <w:uiPriority w:val="0"/>
  </w:style>
  <w:style w:type="paragraph" w:customStyle="1" w:styleId="24">
    <w:name w:val="BodyText"/>
    <w:basedOn w:val="1"/>
    <w:autoRedefine/>
    <w:qFormat/>
    <w:uiPriority w:val="0"/>
    <w:pPr>
      <w:spacing w:before="43"/>
    </w:pPr>
    <w:rPr>
      <w:sz w:val="24"/>
      <w:szCs w:val="24"/>
    </w:rPr>
  </w:style>
  <w:style w:type="paragraph" w:customStyle="1" w:styleId="25">
    <w:name w:val="UserStyle_5"/>
    <w:basedOn w:val="8"/>
    <w:qFormat/>
    <w:uiPriority w:val="0"/>
  </w:style>
  <w:style w:type="table" w:customStyle="1" w:styleId="26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Paragraph"/>
    <w:basedOn w:val="1"/>
    <w:qFormat/>
    <w:uiPriority w:val="1"/>
    <w:pPr>
      <w:spacing w:before="53"/>
    </w:pPr>
    <w:rPr>
      <w:rFonts w:ascii="宋体" w:hAnsi="宋体" w:cs="宋体"/>
      <w:lang w:val="zh-CN" w:bidi="zh-CN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705</Words>
  <Characters>4025</Characters>
  <Lines>33</Lines>
  <Paragraphs>9</Paragraphs>
  <TotalTime>2</TotalTime>
  <ScaleCrop>false</ScaleCrop>
  <LinksUpToDate>false</LinksUpToDate>
  <CharactersWithSpaces>4721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2024-04-24T02:24:00Z</dcterms:created>
  <dc:creator>cfa</dc:creator>
  <cp:lastModifiedBy>张凯</cp:lastModifiedBy>
  <cp:lastPrinted>2024-04-24T02:25:00Z</cp:lastPrinted>
  <dcterms:modified xsi:type="dcterms:W3CDTF">2024-04-24T05:18:10Z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BCA41DE03A604551B5A16B4252D0021A_13</vt:lpwstr>
  </property>
</Properties>
</file>