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textAlignment w:val="auto"/>
        <w:rPr>
          <w:rFonts w:ascii="黑体" w:hAnsi="黑体" w:eastAsia="黑体"/>
          <w:bCs/>
          <w:spacing w:val="-8"/>
          <w:kern w:val="0"/>
          <w:sz w:val="32"/>
          <w:szCs w:val="32"/>
        </w:rPr>
      </w:pPr>
      <w:bookmarkStart w:id="0" w:name="_GoBack"/>
      <w:r>
        <w:rPr>
          <w:rFonts w:hint="eastAsia" w:ascii="黑体" w:hAnsi="黑体" w:eastAsia="黑体"/>
          <w:bCs/>
          <w:spacing w:val="-8"/>
          <w:kern w:val="0"/>
          <w:sz w:val="32"/>
          <w:szCs w:val="32"/>
        </w:rPr>
        <w:t>附件1</w:t>
      </w:r>
    </w:p>
    <w:bookmarkEnd w:id="0"/>
    <w:p>
      <w:pPr>
        <w:spacing w:line="560" w:lineRule="exact"/>
        <w:textAlignment w:val="auto"/>
        <w:rPr>
          <w:rFonts w:ascii="黑体" w:hAnsi="黑体" w:eastAsia="黑体"/>
          <w:bCs/>
          <w:spacing w:val="-8"/>
          <w:kern w:val="0"/>
          <w:sz w:val="32"/>
          <w:szCs w:val="32"/>
        </w:rPr>
      </w:pPr>
    </w:p>
    <w:p>
      <w:pPr>
        <w:spacing w:after="156" w:afterLines="50"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企业篇稿件内容要求</w:t>
      </w:r>
    </w:p>
    <w:p>
      <w:pPr>
        <w:spacing w:line="480" w:lineRule="exact"/>
        <w:ind w:firstLine="480" w:firstLineChars="200"/>
        <w:rPr>
          <w:rFonts w:ascii="仿宋" w:hAnsi="仿宋" w:eastAsia="仿宋"/>
          <w:sz w:val="24"/>
          <w:szCs w:val="24"/>
        </w:rPr>
      </w:pPr>
      <w:r>
        <w:rPr>
          <w:rFonts w:hint="eastAsia" w:ascii="仿宋" w:hAnsi="仿宋" w:eastAsia="仿宋"/>
          <w:sz w:val="24"/>
          <w:szCs w:val="24"/>
        </w:rPr>
        <w:t>《中国铸造年鉴》（202</w:t>
      </w:r>
      <w:r>
        <w:rPr>
          <w:rFonts w:ascii="仿宋" w:hAnsi="仿宋" w:eastAsia="仿宋"/>
          <w:sz w:val="24"/>
          <w:szCs w:val="24"/>
        </w:rPr>
        <w:t>4</w:t>
      </w:r>
      <w:r>
        <w:rPr>
          <w:rFonts w:hint="eastAsia" w:ascii="仿宋" w:hAnsi="仿宋" w:eastAsia="仿宋"/>
          <w:sz w:val="24"/>
          <w:szCs w:val="24"/>
        </w:rPr>
        <w:t>年版）依照惯例继续设立企业篇，重点对行业内百强企业、“专、精、特、新”特色企业做详细介绍。《中国铸造年鉴》的纳入企业既是行业内对企业的高度认可，亦可以增加企业在行业的影响力，对企业来说是一种荣誉。（注：不向企业收取任何费用）。</w:t>
      </w:r>
    </w:p>
    <w:p>
      <w:pPr>
        <w:spacing w:line="480" w:lineRule="exact"/>
        <w:ind w:firstLine="480" w:firstLineChars="200"/>
        <w:rPr>
          <w:rFonts w:ascii="仿宋" w:hAnsi="仿宋" w:eastAsia="仿宋"/>
          <w:sz w:val="24"/>
          <w:szCs w:val="24"/>
        </w:rPr>
      </w:pPr>
      <w:r>
        <w:rPr>
          <w:rFonts w:hint="eastAsia" w:ascii="仿宋" w:hAnsi="仿宋" w:eastAsia="仿宋"/>
          <w:sz w:val="24"/>
          <w:szCs w:val="24"/>
        </w:rPr>
        <w:t>各省（市）铸造协/学会可向中铸协推荐本地区行业重点骨干企业，各重点骨干企业也可向中铸协直接投稿，稿件内容必须客观、真实、准确；中铸协将组织专家对企业进行优选（兼顾入选原则和年鉴企业篇数量限制），入选的企业将纳入到《中国铸造年鉴》企业篇。</w:t>
      </w:r>
    </w:p>
    <w:p>
      <w:pPr>
        <w:spacing w:line="480" w:lineRule="exact"/>
        <w:ind w:firstLine="420"/>
        <w:rPr>
          <w:rFonts w:ascii="仿宋" w:hAnsi="仿宋" w:eastAsia="仿宋"/>
          <w:sz w:val="24"/>
          <w:szCs w:val="24"/>
        </w:rPr>
      </w:pPr>
      <w:r>
        <w:rPr>
          <w:rFonts w:hint="eastAsia" w:ascii="仿宋" w:hAnsi="仿宋" w:eastAsia="仿宋"/>
          <w:sz w:val="24"/>
          <w:szCs w:val="24"/>
        </w:rPr>
        <w:t>年鉴企业篇内容如下：</w:t>
      </w:r>
    </w:p>
    <w:p>
      <w:pPr>
        <w:spacing w:line="480" w:lineRule="exact"/>
        <w:ind w:firstLine="42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 xml:space="preserve"> </w:t>
      </w:r>
      <w:r>
        <w:rPr>
          <w:rFonts w:hint="eastAsia" w:ascii="仿宋" w:hAnsi="仿宋" w:eastAsia="仿宋"/>
          <w:sz w:val="24"/>
          <w:szCs w:val="24"/>
        </w:rPr>
        <w:t>企业简介</w:t>
      </w:r>
    </w:p>
    <w:p>
      <w:pPr>
        <w:spacing w:line="480" w:lineRule="exact"/>
        <w:ind w:firstLine="42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工艺及设备</w:t>
      </w:r>
    </w:p>
    <w:p>
      <w:pPr>
        <w:spacing w:line="480" w:lineRule="exact"/>
        <w:ind w:firstLine="42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主要产品及主要用户</w:t>
      </w:r>
    </w:p>
    <w:p>
      <w:pPr>
        <w:spacing w:after="156" w:afterLines="50" w:line="480" w:lineRule="exact"/>
        <w:ind w:firstLine="42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20</w:t>
      </w:r>
      <w:r>
        <w:rPr>
          <w:rFonts w:ascii="仿宋" w:hAnsi="仿宋" w:eastAsia="仿宋"/>
          <w:sz w:val="24"/>
          <w:szCs w:val="24"/>
        </w:rPr>
        <w:t>20</w:t>
      </w:r>
      <w:r>
        <w:rPr>
          <w:rFonts w:hint="eastAsia" w:ascii="仿宋" w:hAnsi="仿宋" w:eastAsia="仿宋"/>
          <w:sz w:val="24"/>
          <w:szCs w:val="24"/>
        </w:rPr>
        <w:t>～20</w:t>
      </w:r>
      <w:r>
        <w:rPr>
          <w:rFonts w:ascii="仿宋" w:hAnsi="仿宋" w:eastAsia="仿宋"/>
          <w:sz w:val="24"/>
          <w:szCs w:val="24"/>
        </w:rPr>
        <w:t>23</w:t>
      </w:r>
      <w:r>
        <w:rPr>
          <w:rFonts w:hint="eastAsia" w:ascii="仿宋" w:hAnsi="仿宋" w:eastAsia="仿宋"/>
          <w:sz w:val="24"/>
          <w:szCs w:val="24"/>
        </w:rPr>
        <w:t>年铸件产量</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1939"/>
        <w:gridCol w:w="1373"/>
        <w:gridCol w:w="147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Borders>
              <w:tl2br w:val="single" w:color="auto" w:sz="4" w:space="0"/>
            </w:tcBorders>
            <w:vAlign w:val="center"/>
          </w:tcPr>
          <w:p>
            <w:pPr>
              <w:spacing w:line="360" w:lineRule="auto"/>
              <w:jc w:val="right"/>
              <w:rPr>
                <w:rFonts w:ascii="仿宋" w:hAnsi="仿宋" w:eastAsia="仿宋"/>
                <w:szCs w:val="21"/>
              </w:rPr>
            </w:pPr>
            <w:r>
              <w:rPr>
                <w:rFonts w:hint="eastAsia" w:ascii="仿宋" w:hAnsi="仿宋" w:eastAsia="仿宋"/>
                <w:szCs w:val="21"/>
              </w:rPr>
              <w:t>年份</w:t>
            </w:r>
          </w:p>
          <w:p>
            <w:pPr>
              <w:spacing w:line="360" w:lineRule="auto"/>
              <w:jc w:val="left"/>
              <w:rPr>
                <w:rFonts w:ascii="仿宋" w:hAnsi="仿宋" w:eastAsia="仿宋"/>
                <w:szCs w:val="21"/>
              </w:rPr>
            </w:pPr>
            <w:r>
              <w:rPr>
                <w:rFonts w:hint="eastAsia" w:ascii="仿宋" w:hAnsi="仿宋" w:eastAsia="仿宋"/>
                <w:szCs w:val="21"/>
              </w:rPr>
              <w:t>铸件材质</w:t>
            </w:r>
          </w:p>
        </w:tc>
        <w:tc>
          <w:tcPr>
            <w:tcW w:w="1070" w:type="pct"/>
            <w:vAlign w:val="center"/>
          </w:tcPr>
          <w:p>
            <w:pPr>
              <w:spacing w:line="360" w:lineRule="auto"/>
              <w:jc w:val="center"/>
              <w:rPr>
                <w:rFonts w:ascii="仿宋" w:hAnsi="仿宋" w:eastAsia="仿宋"/>
                <w:szCs w:val="21"/>
              </w:rPr>
            </w:pPr>
            <w:r>
              <w:rPr>
                <w:rFonts w:hint="eastAsia" w:ascii="仿宋" w:hAnsi="仿宋" w:eastAsia="仿宋"/>
                <w:szCs w:val="21"/>
              </w:rPr>
              <w:t>20</w:t>
            </w:r>
            <w:r>
              <w:rPr>
                <w:rFonts w:ascii="仿宋" w:hAnsi="仿宋" w:eastAsia="仿宋"/>
                <w:szCs w:val="21"/>
              </w:rPr>
              <w:t>20</w:t>
            </w:r>
            <w:r>
              <w:rPr>
                <w:rFonts w:hint="eastAsia" w:ascii="仿宋" w:hAnsi="仿宋" w:eastAsia="仿宋"/>
                <w:szCs w:val="21"/>
              </w:rPr>
              <w:t>年</w:t>
            </w:r>
          </w:p>
        </w:tc>
        <w:tc>
          <w:tcPr>
            <w:tcW w:w="758" w:type="pct"/>
            <w:vAlign w:val="center"/>
          </w:tcPr>
          <w:p>
            <w:pPr>
              <w:spacing w:line="360" w:lineRule="auto"/>
              <w:jc w:val="center"/>
              <w:rPr>
                <w:rFonts w:ascii="仿宋" w:hAnsi="仿宋" w:eastAsia="仿宋"/>
                <w:szCs w:val="21"/>
              </w:rPr>
            </w:pPr>
            <w:r>
              <w:rPr>
                <w:rFonts w:hint="eastAsia" w:ascii="仿宋" w:hAnsi="仿宋" w:eastAsia="仿宋"/>
                <w:szCs w:val="21"/>
              </w:rPr>
              <w:t>20</w:t>
            </w:r>
            <w:r>
              <w:rPr>
                <w:rFonts w:ascii="仿宋" w:hAnsi="仿宋" w:eastAsia="仿宋"/>
                <w:szCs w:val="21"/>
              </w:rPr>
              <w:t>21</w:t>
            </w:r>
            <w:r>
              <w:rPr>
                <w:rFonts w:hint="eastAsia" w:ascii="仿宋" w:hAnsi="仿宋" w:eastAsia="仿宋"/>
                <w:szCs w:val="21"/>
              </w:rPr>
              <w:t>年</w:t>
            </w:r>
          </w:p>
        </w:tc>
        <w:tc>
          <w:tcPr>
            <w:tcW w:w="812" w:type="pct"/>
            <w:vAlign w:val="center"/>
          </w:tcPr>
          <w:p>
            <w:pPr>
              <w:spacing w:line="360" w:lineRule="auto"/>
              <w:jc w:val="center"/>
              <w:rPr>
                <w:rFonts w:ascii="仿宋" w:hAnsi="仿宋" w:eastAsia="仿宋"/>
                <w:szCs w:val="21"/>
              </w:rPr>
            </w:pPr>
            <w:r>
              <w:rPr>
                <w:rFonts w:hint="eastAsia" w:ascii="仿宋" w:hAnsi="仿宋" w:eastAsia="仿宋"/>
                <w:szCs w:val="21"/>
              </w:rPr>
              <w:t>20</w:t>
            </w:r>
            <w:r>
              <w:rPr>
                <w:rFonts w:ascii="仿宋" w:hAnsi="仿宋" w:eastAsia="仿宋"/>
                <w:szCs w:val="21"/>
              </w:rPr>
              <w:t>22</w:t>
            </w:r>
            <w:r>
              <w:rPr>
                <w:rFonts w:hint="eastAsia" w:ascii="仿宋" w:hAnsi="仿宋" w:eastAsia="仿宋"/>
                <w:szCs w:val="21"/>
              </w:rPr>
              <w:t>年</w:t>
            </w:r>
          </w:p>
        </w:tc>
        <w:tc>
          <w:tcPr>
            <w:tcW w:w="838" w:type="pct"/>
            <w:vAlign w:val="center"/>
          </w:tcPr>
          <w:p>
            <w:pPr>
              <w:spacing w:line="360" w:lineRule="auto"/>
              <w:jc w:val="center"/>
              <w:rPr>
                <w:rFonts w:ascii="仿宋" w:hAnsi="仿宋" w:eastAsia="仿宋"/>
                <w:szCs w:val="21"/>
              </w:rPr>
            </w:pPr>
            <w:r>
              <w:rPr>
                <w:rFonts w:hint="eastAsia" w:ascii="仿宋" w:hAnsi="仿宋" w:eastAsia="仿宋"/>
                <w:szCs w:val="21"/>
              </w:rPr>
              <w:t>20</w:t>
            </w:r>
            <w:r>
              <w:rPr>
                <w:rFonts w:ascii="仿宋" w:hAnsi="仿宋" w:eastAsia="仿宋"/>
                <w:szCs w:val="21"/>
              </w:rPr>
              <w:t>23</w:t>
            </w:r>
            <w:r>
              <w:rPr>
                <w:rFonts w:hint="eastAsia" w:ascii="仿宋" w:hAnsi="仿宋" w:eastAsia="仿宋"/>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spacing w:line="360" w:lineRule="auto"/>
              <w:jc w:val="center"/>
              <w:rPr>
                <w:rFonts w:ascii="仿宋" w:hAnsi="仿宋" w:eastAsia="仿宋"/>
                <w:szCs w:val="21"/>
              </w:rPr>
            </w:pPr>
            <w:r>
              <w:rPr>
                <w:rFonts w:hint="eastAsia" w:ascii="仿宋" w:hAnsi="仿宋" w:eastAsia="仿宋"/>
                <w:szCs w:val="21"/>
              </w:rPr>
              <w:t>灰铸铁件</w:t>
            </w:r>
          </w:p>
        </w:tc>
        <w:tc>
          <w:tcPr>
            <w:tcW w:w="1070" w:type="pct"/>
          </w:tcPr>
          <w:p>
            <w:pPr>
              <w:spacing w:line="360" w:lineRule="auto"/>
              <w:rPr>
                <w:rFonts w:ascii="仿宋" w:hAnsi="仿宋" w:eastAsia="仿宋"/>
                <w:szCs w:val="21"/>
              </w:rPr>
            </w:pPr>
          </w:p>
        </w:tc>
        <w:tc>
          <w:tcPr>
            <w:tcW w:w="758" w:type="pct"/>
          </w:tcPr>
          <w:p>
            <w:pPr>
              <w:spacing w:line="360" w:lineRule="auto"/>
              <w:rPr>
                <w:rFonts w:ascii="仿宋" w:hAnsi="仿宋" w:eastAsia="仿宋"/>
                <w:szCs w:val="21"/>
              </w:rPr>
            </w:pPr>
          </w:p>
        </w:tc>
        <w:tc>
          <w:tcPr>
            <w:tcW w:w="812" w:type="pct"/>
          </w:tcPr>
          <w:p>
            <w:pPr>
              <w:spacing w:line="360" w:lineRule="auto"/>
              <w:rPr>
                <w:rFonts w:ascii="仿宋" w:hAnsi="仿宋" w:eastAsia="仿宋"/>
                <w:szCs w:val="21"/>
              </w:rPr>
            </w:pPr>
          </w:p>
        </w:tc>
        <w:tc>
          <w:tcPr>
            <w:tcW w:w="838" w:type="pct"/>
          </w:tcPr>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spacing w:line="360" w:lineRule="auto"/>
              <w:jc w:val="center"/>
              <w:rPr>
                <w:rFonts w:ascii="仿宋" w:hAnsi="仿宋" w:eastAsia="仿宋"/>
                <w:szCs w:val="21"/>
              </w:rPr>
            </w:pPr>
            <w:r>
              <w:rPr>
                <w:rFonts w:hint="eastAsia" w:ascii="仿宋" w:hAnsi="仿宋" w:eastAsia="仿宋"/>
                <w:szCs w:val="21"/>
              </w:rPr>
              <w:t>球墨铸铁件</w:t>
            </w:r>
          </w:p>
        </w:tc>
        <w:tc>
          <w:tcPr>
            <w:tcW w:w="1070" w:type="pct"/>
          </w:tcPr>
          <w:p>
            <w:pPr>
              <w:spacing w:line="360" w:lineRule="auto"/>
              <w:rPr>
                <w:rFonts w:ascii="仿宋" w:hAnsi="仿宋" w:eastAsia="仿宋"/>
                <w:szCs w:val="21"/>
              </w:rPr>
            </w:pPr>
          </w:p>
        </w:tc>
        <w:tc>
          <w:tcPr>
            <w:tcW w:w="758" w:type="pct"/>
          </w:tcPr>
          <w:p>
            <w:pPr>
              <w:spacing w:line="360" w:lineRule="auto"/>
              <w:rPr>
                <w:rFonts w:ascii="仿宋" w:hAnsi="仿宋" w:eastAsia="仿宋"/>
                <w:szCs w:val="21"/>
              </w:rPr>
            </w:pPr>
          </w:p>
        </w:tc>
        <w:tc>
          <w:tcPr>
            <w:tcW w:w="812" w:type="pct"/>
          </w:tcPr>
          <w:p>
            <w:pPr>
              <w:spacing w:line="360" w:lineRule="auto"/>
              <w:rPr>
                <w:rFonts w:ascii="仿宋" w:hAnsi="仿宋" w:eastAsia="仿宋"/>
                <w:szCs w:val="21"/>
              </w:rPr>
            </w:pPr>
          </w:p>
        </w:tc>
        <w:tc>
          <w:tcPr>
            <w:tcW w:w="838" w:type="pct"/>
          </w:tcPr>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spacing w:line="360" w:lineRule="auto"/>
              <w:jc w:val="center"/>
              <w:rPr>
                <w:rFonts w:ascii="仿宋" w:hAnsi="仿宋" w:eastAsia="仿宋"/>
                <w:szCs w:val="21"/>
              </w:rPr>
            </w:pPr>
            <w:r>
              <w:rPr>
                <w:rFonts w:hint="eastAsia" w:ascii="仿宋" w:hAnsi="仿宋" w:eastAsia="仿宋"/>
                <w:szCs w:val="21"/>
              </w:rPr>
              <w:t>铝合金件</w:t>
            </w:r>
          </w:p>
        </w:tc>
        <w:tc>
          <w:tcPr>
            <w:tcW w:w="1070" w:type="pct"/>
          </w:tcPr>
          <w:p>
            <w:pPr>
              <w:spacing w:line="360" w:lineRule="auto"/>
              <w:rPr>
                <w:rFonts w:ascii="仿宋" w:hAnsi="仿宋" w:eastAsia="仿宋"/>
                <w:szCs w:val="21"/>
              </w:rPr>
            </w:pPr>
          </w:p>
        </w:tc>
        <w:tc>
          <w:tcPr>
            <w:tcW w:w="758" w:type="pct"/>
          </w:tcPr>
          <w:p>
            <w:pPr>
              <w:spacing w:line="360" w:lineRule="auto"/>
              <w:rPr>
                <w:rFonts w:ascii="仿宋" w:hAnsi="仿宋" w:eastAsia="仿宋"/>
                <w:szCs w:val="21"/>
              </w:rPr>
            </w:pPr>
          </w:p>
        </w:tc>
        <w:tc>
          <w:tcPr>
            <w:tcW w:w="812" w:type="pct"/>
          </w:tcPr>
          <w:p>
            <w:pPr>
              <w:spacing w:line="360" w:lineRule="auto"/>
              <w:rPr>
                <w:rFonts w:ascii="仿宋" w:hAnsi="仿宋" w:eastAsia="仿宋"/>
                <w:szCs w:val="21"/>
              </w:rPr>
            </w:pPr>
          </w:p>
        </w:tc>
        <w:tc>
          <w:tcPr>
            <w:tcW w:w="838" w:type="pct"/>
          </w:tcPr>
          <w:p>
            <w:pPr>
              <w:spacing w:line="360" w:lineRule="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pacing w:line="360" w:lineRule="auto"/>
              <w:jc w:val="center"/>
              <w:rPr>
                <w:rFonts w:ascii="仿宋" w:hAnsi="仿宋" w:eastAsia="仿宋"/>
                <w:szCs w:val="21"/>
              </w:rPr>
            </w:pPr>
            <w:r>
              <w:rPr>
                <w:rFonts w:hint="eastAsia" w:ascii="仿宋" w:hAnsi="仿宋" w:eastAsia="仿宋"/>
                <w:szCs w:val="21"/>
              </w:rPr>
              <w:t>……</w:t>
            </w:r>
          </w:p>
        </w:tc>
      </w:tr>
    </w:tbl>
    <w:p>
      <w:pPr>
        <w:spacing w:line="480" w:lineRule="exact"/>
        <w:ind w:firstLine="480" w:firstLineChars="2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产品品质及认证情况</w:t>
      </w:r>
    </w:p>
    <w:p>
      <w:pPr>
        <w:spacing w:line="480" w:lineRule="exact"/>
        <w:ind w:firstLine="480" w:firstLineChars="200"/>
        <w:rPr>
          <w:rFonts w:ascii="仿宋" w:hAnsi="仿宋" w:eastAsia="仿宋"/>
          <w:sz w:val="24"/>
          <w:szCs w:val="24"/>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1361" w:gutter="0"/>
          <w:pgNumType w:fmt="numberInDash"/>
          <w:cols w:space="425" w:num="1"/>
          <w:docGrid w:type="lines" w:linePitch="312" w:charSpace="0"/>
        </w:sectPr>
      </w:pPr>
      <w:r>
        <w:rPr>
          <w:rFonts w:hint="eastAsia" w:ascii="仿宋" w:hAnsi="仿宋" w:eastAsia="仿宋"/>
          <w:sz w:val="24"/>
          <w:szCs w:val="24"/>
        </w:rPr>
        <w:t>6.</w:t>
      </w:r>
      <w:r>
        <w:rPr>
          <w:rFonts w:ascii="仿宋" w:hAnsi="仿宋" w:eastAsia="仿宋"/>
          <w:sz w:val="24"/>
          <w:szCs w:val="24"/>
        </w:rPr>
        <w:t xml:space="preserve"> </w:t>
      </w:r>
      <w:r>
        <w:rPr>
          <w:rFonts w:hint="eastAsia" w:ascii="仿宋" w:hAnsi="仿宋" w:eastAsia="仿宋"/>
          <w:sz w:val="24"/>
          <w:szCs w:val="24"/>
        </w:rPr>
        <w:t>联系方式（地址、邮编、网址、联系人、电话、传真、邮箱）</w:t>
      </w:r>
    </w:p>
    <w:p>
      <w:pPr>
        <w:spacing w:line="560" w:lineRule="exact"/>
        <w:textAlignment w:val="auto"/>
        <w:rPr>
          <w:rFonts w:ascii="黑体" w:hAnsi="黑体" w:eastAsia="黑体"/>
          <w:bCs/>
          <w:spacing w:val="-8"/>
          <w:kern w:val="0"/>
          <w:sz w:val="32"/>
          <w:szCs w:val="32"/>
        </w:rPr>
      </w:pPr>
      <w:r>
        <w:rPr>
          <w:rFonts w:hint="eastAsia" w:ascii="黑体" w:hAnsi="黑体" w:eastAsia="黑体"/>
          <w:bCs/>
          <w:spacing w:val="-8"/>
          <w:kern w:val="0"/>
          <w:sz w:val="32"/>
          <w:szCs w:val="32"/>
        </w:rPr>
        <w:t>附件2</w:t>
      </w:r>
    </w:p>
    <w:p>
      <w:pPr>
        <w:spacing w:line="560" w:lineRule="exact"/>
        <w:textAlignment w:val="auto"/>
        <w:rPr>
          <w:rFonts w:ascii="黑体" w:hAnsi="黑体" w:eastAsia="黑体"/>
          <w:bCs/>
          <w:spacing w:val="-8"/>
          <w:kern w:val="0"/>
          <w:sz w:val="32"/>
          <w:szCs w:val="32"/>
        </w:rPr>
      </w:pPr>
    </w:p>
    <w:p>
      <w:pPr>
        <w:spacing w:after="156" w:afterLines="50"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企业篇稿件示例</w:t>
      </w:r>
    </w:p>
    <w:p>
      <w:pPr>
        <w:widowControl w:val="0"/>
        <w:jc w:val="center"/>
        <w:rPr>
          <w:rFonts w:ascii="宋体" w:hAnsi="宋体" w:cs="宋体"/>
          <w:b/>
          <w:color w:val="000000"/>
          <w:sz w:val="24"/>
          <w:szCs w:val="24"/>
        </w:rPr>
      </w:pPr>
      <w:r>
        <w:rPr>
          <w:rFonts w:hint="eastAsia" w:ascii="仿宋_GB2312" w:hAnsi="宋体" w:eastAsia="仿宋_GB2312" w:cs="宋体"/>
          <w:b/>
          <w:sz w:val="36"/>
          <w:szCs w:val="36"/>
          <w:lang w:bidi="ar"/>
        </w:rPr>
        <w:t>天津三和铁制品有限公司</w:t>
      </w:r>
    </w:p>
    <w:p>
      <w:pPr>
        <w:widowControl w:val="0"/>
        <w:rPr>
          <w:rFonts w:ascii="宋体" w:hAnsi="宋体" w:cs="宋体"/>
          <w:b/>
          <w:color w:val="000000"/>
          <w:sz w:val="28"/>
          <w:szCs w:val="28"/>
          <w:lang w:bidi="ar"/>
        </w:rPr>
      </w:pPr>
      <w:r>
        <w:rPr>
          <w:rFonts w:hint="eastAsia" w:ascii="宋体" w:hAnsi="宋体" w:cs="宋体"/>
          <w:b/>
          <w:color w:val="000000"/>
          <w:sz w:val="28"/>
          <w:szCs w:val="28"/>
          <w:lang w:bidi="ar"/>
        </w:rPr>
        <w:t>1 公司简介</w:t>
      </w:r>
    </w:p>
    <w:p>
      <w:pPr>
        <w:spacing w:line="480" w:lineRule="exact"/>
        <w:ind w:firstLine="480" w:firstLineChars="200"/>
        <w:rPr>
          <w:rFonts w:ascii="仿宋" w:hAnsi="仿宋" w:eastAsia="仿宋"/>
          <w:sz w:val="24"/>
          <w:szCs w:val="24"/>
        </w:rPr>
      </w:pPr>
      <w:r>
        <w:rPr>
          <w:rFonts w:hint="eastAsia" w:ascii="仿宋" w:hAnsi="仿宋" w:eastAsia="仿宋"/>
          <w:sz w:val="24"/>
          <w:szCs w:val="24"/>
        </w:rPr>
        <w:t>天津三和铁制品有限公司是一家中日合资企业，公司始建于1994年，注册资本700万美元，投资占地面积11万平方米，拥有员工400余人，国内外高级技术专家团队数十人，技术实力强，始终走在同行业先列。2019年，在河北省沧州市渤海经济开发区又成立了分公司沧州渤海三和精密制造有限公司，该公司注册资本达到1.5亿元，占地面积17万余平方米，建成集铸造、加工、组装为一体的综合性工厂。</w:t>
      </w:r>
    </w:p>
    <w:p>
      <w:pPr>
        <w:widowControl w:val="0"/>
        <w:rPr>
          <w:rFonts w:ascii="宋体" w:hAnsi="宋体" w:cs="宋体"/>
          <w:b/>
          <w:color w:val="000000"/>
          <w:sz w:val="28"/>
          <w:szCs w:val="28"/>
        </w:rPr>
      </w:pPr>
      <w:r>
        <w:rPr>
          <w:rFonts w:hint="eastAsia" w:ascii="宋体" w:hAnsi="宋体" w:cs="宋体"/>
          <w:b/>
          <w:color w:val="000000"/>
          <w:sz w:val="28"/>
          <w:szCs w:val="28"/>
          <w:lang w:bidi="ar"/>
        </w:rPr>
        <w:t>2 工艺及设备特色</w:t>
      </w:r>
    </w:p>
    <w:p>
      <w:pPr>
        <w:spacing w:line="480" w:lineRule="exact"/>
        <w:ind w:firstLine="480" w:firstLineChars="200"/>
        <w:rPr>
          <w:rFonts w:ascii="仿宋" w:hAnsi="仿宋" w:eastAsia="仿宋"/>
          <w:sz w:val="24"/>
          <w:szCs w:val="24"/>
        </w:rPr>
      </w:pPr>
      <w:r>
        <w:rPr>
          <w:rFonts w:hint="eastAsia" w:ascii="仿宋" w:hAnsi="仿宋" w:eastAsia="仿宋"/>
          <w:sz w:val="24"/>
          <w:szCs w:val="24"/>
        </w:rPr>
        <w:t>天津三和铁制品有限公司采用自动化生产线，拥有日本东久自动造型线、日本新东有箱造型线、呋喃树脂砂造型线、自动浇注机等各类领先铸造设备。日本MAZAK的FMS全自动柔性生产线，立式、卧式加工中心数十台，加工设备种类齐全，可满足各种精密加工要求；为实现产品多元化，公司除铸造车间、加工车间，还设立锻造车间和表面处理车间，更好地完善产品结构适应于市场与客户，已完善形成铸造-锻造-机械加工-表面处理为一体的高效生产模式。</w:t>
      </w:r>
    </w:p>
    <w:p>
      <w:pPr>
        <w:spacing w:line="480" w:lineRule="exact"/>
        <w:ind w:firstLine="480" w:firstLineChars="200"/>
        <w:rPr>
          <w:rFonts w:ascii="仿宋" w:hAnsi="仿宋" w:eastAsia="仿宋"/>
          <w:sz w:val="24"/>
          <w:szCs w:val="24"/>
        </w:rPr>
      </w:pPr>
      <w:r>
        <w:rPr>
          <w:rFonts w:hint="eastAsia" w:ascii="仿宋" w:hAnsi="仿宋" w:eastAsia="仿宋"/>
          <w:sz w:val="24"/>
          <w:szCs w:val="24"/>
        </w:rPr>
        <w:t>天津三和铁制品有限公司视诚信和质量为生命，公司购进日本岛津光谱分析仪、三丰三坐标、各种型砂试验设备、X射线检查机、磁粉探伤机、超声波检测仪、拉力试验机、冲击试验机、各式气密机、球化判定仪等大量试验、分析检验检测设备，全面为产品质量保驾护航。</w:t>
      </w:r>
    </w:p>
    <w:p>
      <w:pPr>
        <w:widowControl w:val="0"/>
        <w:rPr>
          <w:rFonts w:ascii="宋体" w:hAnsi="宋体" w:cs="宋体"/>
          <w:b/>
          <w:color w:val="000000"/>
          <w:sz w:val="28"/>
          <w:szCs w:val="28"/>
          <w:lang w:bidi="ar"/>
        </w:rPr>
      </w:pPr>
      <w:r>
        <w:rPr>
          <w:rFonts w:hint="eastAsia" w:ascii="宋体" w:hAnsi="宋体" w:cs="宋体"/>
          <w:b/>
          <w:color w:val="000000"/>
          <w:sz w:val="28"/>
          <w:szCs w:val="28"/>
          <w:lang w:bidi="ar"/>
        </w:rPr>
        <w:t>3 主要产品及主要用户</w:t>
      </w:r>
    </w:p>
    <w:p>
      <w:pPr>
        <w:widowControl w:val="0"/>
        <w:spacing w:line="360" w:lineRule="auto"/>
        <w:ind w:firstLine="480" w:firstLineChars="200"/>
        <w:rPr>
          <w:rFonts w:ascii="宋体" w:hAnsi="宋体" w:cs="宋体"/>
          <w:sz w:val="28"/>
          <w:szCs w:val="28"/>
        </w:rPr>
      </w:pPr>
      <w:r>
        <w:rPr>
          <w:rFonts w:hint="eastAsia" w:ascii="仿宋" w:hAnsi="仿宋" w:eastAsia="仿宋"/>
          <w:sz w:val="24"/>
          <w:szCs w:val="24"/>
        </w:rPr>
        <w:t>主要材质：灰铸铁、球墨铸铁、合金铸铁。产品主要有：执行器部件、真空泵部件、输变电金具、电机电梯部件、汽车部件、建筑给排水工程类部品、阀门部品、液压部品以及机械设备、水泵等部品。现有年生产能力为80,000吨，可生产HT150～HT350、QT400～QT800的各类铸件。公司已与国内外多家客户建立战略合作伙伴关系，且为日本碍子公司输配电金具的指定供应商，并被艾默生过程管理公司、丹佛斯公司评为全球最佳供应商。公司面向市场需求，推出适应于各类客户的新产品，同时与美国、法国、英国、捷克斯洛伐克、韩国、日本等国家客户建立了长期战略合作伙伴关系。</w:t>
      </w:r>
    </w:p>
    <w:p>
      <w:pPr>
        <w:widowControl w:val="0"/>
        <w:rPr>
          <w:rFonts w:ascii="宋体" w:hAnsi="宋体" w:cs="宋体"/>
          <w:b/>
          <w:color w:val="000000"/>
          <w:sz w:val="28"/>
          <w:szCs w:val="28"/>
          <w:lang w:bidi="ar"/>
        </w:rPr>
      </w:pPr>
      <w:r>
        <w:rPr>
          <w:rFonts w:hint="eastAsia" w:ascii="宋体" w:hAnsi="宋体" w:cs="宋体"/>
          <w:b/>
          <w:color w:val="000000"/>
          <w:sz w:val="28"/>
          <w:szCs w:val="28"/>
          <w:lang w:bidi="ar"/>
        </w:rPr>
        <w:t>4 铸件产量</w:t>
      </w:r>
    </w:p>
    <w:p>
      <w:pPr>
        <w:widowControl w:val="0"/>
        <w:spacing w:line="360" w:lineRule="auto"/>
        <w:jc w:val="center"/>
        <w:rPr>
          <w:rFonts w:ascii="仿宋" w:hAnsi="仿宋" w:eastAsia="仿宋"/>
          <w:sz w:val="24"/>
          <w:szCs w:val="24"/>
        </w:rPr>
      </w:pPr>
      <w:r>
        <w:rPr>
          <w:rFonts w:hint="eastAsia" w:ascii="仿宋" w:hAnsi="仿宋" w:eastAsia="仿宋"/>
          <w:sz w:val="24"/>
          <w:szCs w:val="24"/>
        </w:rPr>
        <w:t>表  2020～2023年铸件产量</w:t>
      </w:r>
    </w:p>
    <w:tbl>
      <w:tblPr>
        <w:tblStyle w:val="5"/>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637"/>
        <w:gridCol w:w="1407"/>
        <w:gridCol w:w="150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val="0"/>
              <w:spacing w:line="360" w:lineRule="auto"/>
              <w:jc w:val="center"/>
              <w:rPr>
                <w:rFonts w:ascii="仿宋" w:hAnsi="仿宋" w:eastAsia="仿宋" w:cs="仿宋"/>
                <w:sz w:val="24"/>
                <w:szCs w:val="24"/>
              </w:rPr>
            </w:pPr>
            <w:r>
              <w:rPr>
                <w:rFonts w:hint="eastAsia" w:ascii="仿宋" w:hAnsi="仿宋" w:eastAsia="仿宋" w:cs="仿宋"/>
                <w:sz w:val="24"/>
                <w:szCs w:val="24"/>
                <w:lang w:bidi="ar"/>
              </w:rPr>
              <w:t xml:space="preserve">     年份</w:t>
            </w:r>
          </w:p>
          <w:p>
            <w:pPr>
              <w:widowControl w:val="0"/>
              <w:spacing w:line="360" w:lineRule="auto"/>
              <w:jc w:val="left"/>
              <w:rPr>
                <w:rFonts w:ascii="仿宋" w:hAnsi="仿宋" w:eastAsia="仿宋" w:cs="仿宋"/>
                <w:sz w:val="24"/>
                <w:szCs w:val="24"/>
              </w:rPr>
            </w:pPr>
            <w:r>
              <w:rPr>
                <w:rFonts w:hint="eastAsia" w:ascii="仿宋" w:hAnsi="仿宋" w:eastAsia="仿宋" w:cs="仿宋"/>
                <w:sz w:val="24"/>
                <w:szCs w:val="24"/>
                <w:lang w:bidi="ar"/>
              </w:rPr>
              <w:t>铸件材质</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jc w:val="center"/>
              <w:rPr>
                <w:rFonts w:ascii="仿宋" w:hAnsi="仿宋" w:eastAsia="仿宋" w:cs="仿宋"/>
                <w:sz w:val="24"/>
                <w:szCs w:val="24"/>
              </w:rPr>
            </w:pPr>
            <w:r>
              <w:rPr>
                <w:rFonts w:hint="eastAsia" w:ascii="仿宋" w:hAnsi="仿宋" w:eastAsia="仿宋" w:cs="仿宋"/>
                <w:sz w:val="24"/>
                <w:szCs w:val="24"/>
                <w:lang w:bidi="ar"/>
              </w:rPr>
              <w:t>2020年</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jc w:val="center"/>
              <w:rPr>
                <w:rFonts w:ascii="仿宋" w:hAnsi="仿宋" w:eastAsia="仿宋" w:cs="仿宋"/>
                <w:sz w:val="24"/>
                <w:szCs w:val="24"/>
              </w:rPr>
            </w:pPr>
            <w:r>
              <w:rPr>
                <w:rFonts w:hint="eastAsia" w:ascii="仿宋" w:hAnsi="仿宋" w:eastAsia="仿宋" w:cs="仿宋"/>
                <w:sz w:val="24"/>
                <w:szCs w:val="24"/>
                <w:lang w:bidi="ar"/>
              </w:rPr>
              <w:t>2021年</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jc w:val="center"/>
              <w:rPr>
                <w:rFonts w:ascii="仿宋" w:hAnsi="仿宋" w:eastAsia="仿宋" w:cs="仿宋"/>
                <w:sz w:val="24"/>
                <w:szCs w:val="24"/>
              </w:rPr>
            </w:pPr>
            <w:r>
              <w:rPr>
                <w:rFonts w:hint="eastAsia" w:ascii="仿宋" w:hAnsi="仿宋" w:eastAsia="仿宋" w:cs="仿宋"/>
                <w:sz w:val="24"/>
                <w:szCs w:val="24"/>
                <w:lang w:bidi="ar"/>
              </w:rPr>
              <w:t>2022年</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jc w:val="center"/>
              <w:rPr>
                <w:rFonts w:ascii="仿宋" w:hAnsi="仿宋" w:eastAsia="仿宋" w:cs="仿宋"/>
                <w:sz w:val="24"/>
                <w:szCs w:val="24"/>
              </w:rPr>
            </w:pPr>
            <w:r>
              <w:rPr>
                <w:rFonts w:hint="eastAsia" w:ascii="仿宋" w:hAnsi="仿宋" w:eastAsia="仿宋" w:cs="仿宋"/>
                <w:sz w:val="24"/>
                <w:szCs w:val="24"/>
                <w:lang w:bidi="ar"/>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Borders>
              <w:top w:val="single" w:color="auto" w:sz="4" w:space="0"/>
              <w:left w:val="single" w:color="auto" w:sz="4" w:space="0"/>
              <w:bottom w:val="single" w:color="auto" w:sz="4" w:space="0"/>
              <w:right w:val="single" w:color="auto" w:sz="4" w:space="0"/>
            </w:tcBorders>
            <w:shd w:val="clear" w:color="auto" w:fill="auto"/>
          </w:tcPr>
          <w:p>
            <w:pPr>
              <w:widowControl w:val="0"/>
              <w:spacing w:line="360" w:lineRule="auto"/>
              <w:jc w:val="center"/>
              <w:rPr>
                <w:rFonts w:ascii="仿宋" w:hAnsi="仿宋" w:eastAsia="仿宋" w:cs="仿宋"/>
                <w:sz w:val="24"/>
                <w:szCs w:val="24"/>
              </w:rPr>
            </w:pPr>
            <w:r>
              <w:rPr>
                <w:rFonts w:hint="eastAsia" w:ascii="仿宋" w:hAnsi="仿宋" w:eastAsia="仿宋" w:cs="仿宋"/>
                <w:sz w:val="24"/>
                <w:szCs w:val="24"/>
                <w:lang w:bidi="ar"/>
              </w:rPr>
              <w:t>灰铸铁件</w:t>
            </w:r>
            <w:r>
              <w:rPr>
                <w:rFonts w:hint="eastAsia" w:ascii="仿宋" w:hAnsi="仿宋" w:eastAsia="仿宋" w:cs="仿宋"/>
                <w:color w:val="000000"/>
                <w:kern w:val="0"/>
                <w:sz w:val="28"/>
                <w:szCs w:val="28"/>
                <w:lang w:bidi="ar"/>
              </w:rPr>
              <w:t>(t)</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color w:val="000000"/>
                <w:kern w:val="0"/>
                <w:sz w:val="22"/>
                <w:lang w:bidi="ar"/>
              </w:rPr>
              <w:t xml:space="preserve">1100 </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color w:val="000000"/>
                <w:kern w:val="0"/>
                <w:sz w:val="22"/>
                <w:lang w:bidi="ar"/>
              </w:rPr>
              <w:t>1300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color w:val="000000"/>
                <w:kern w:val="0"/>
                <w:sz w:val="22"/>
                <w:lang w:bidi="ar"/>
              </w:rPr>
              <w:t xml:space="preserve">1500 </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color w:val="000000"/>
                <w:kern w:val="0"/>
                <w:sz w:val="22"/>
                <w:lang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Borders>
              <w:top w:val="single" w:color="auto" w:sz="4" w:space="0"/>
              <w:left w:val="single" w:color="auto" w:sz="4" w:space="0"/>
              <w:bottom w:val="single" w:color="auto" w:sz="4" w:space="0"/>
              <w:right w:val="single" w:color="auto" w:sz="4" w:space="0"/>
            </w:tcBorders>
            <w:shd w:val="clear" w:color="auto" w:fill="auto"/>
          </w:tcPr>
          <w:p>
            <w:pPr>
              <w:widowControl w:val="0"/>
              <w:spacing w:line="360" w:lineRule="auto"/>
              <w:jc w:val="center"/>
              <w:rPr>
                <w:rFonts w:ascii="仿宋" w:hAnsi="仿宋" w:eastAsia="仿宋" w:cs="仿宋"/>
                <w:sz w:val="24"/>
                <w:szCs w:val="24"/>
              </w:rPr>
            </w:pPr>
            <w:r>
              <w:rPr>
                <w:rFonts w:hint="eastAsia" w:ascii="仿宋" w:hAnsi="仿宋" w:eastAsia="仿宋" w:cs="仿宋"/>
                <w:sz w:val="24"/>
                <w:szCs w:val="24"/>
                <w:lang w:bidi="ar"/>
              </w:rPr>
              <w:t>球墨铸铁件</w:t>
            </w:r>
            <w:r>
              <w:rPr>
                <w:rFonts w:hint="eastAsia" w:ascii="仿宋" w:hAnsi="仿宋" w:eastAsia="仿宋" w:cs="仿宋"/>
                <w:color w:val="000000"/>
                <w:kern w:val="0"/>
                <w:sz w:val="28"/>
                <w:szCs w:val="28"/>
                <w:lang w:bidi="ar"/>
              </w:rPr>
              <w:t>(t)</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color w:val="000000"/>
                <w:kern w:val="0"/>
                <w:sz w:val="22"/>
                <w:lang w:bidi="ar"/>
              </w:rPr>
              <w:t>11500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color w:val="000000"/>
                <w:kern w:val="0"/>
                <w:sz w:val="22"/>
                <w:lang w:bidi="ar"/>
              </w:rPr>
              <w:t>12500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color w:val="000000"/>
                <w:kern w:val="0"/>
                <w:sz w:val="22"/>
                <w:lang w:bidi="ar"/>
              </w:rPr>
              <w:t>14000</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color w:val="000000"/>
                <w:kern w:val="0"/>
                <w:sz w:val="22"/>
                <w:lang w:bidi="ar"/>
              </w:rPr>
              <w:t>11000</w:t>
            </w:r>
          </w:p>
        </w:tc>
      </w:tr>
    </w:tbl>
    <w:p>
      <w:pPr>
        <w:widowControl w:val="0"/>
        <w:rPr>
          <w:rFonts w:ascii="宋体" w:hAnsi="宋体" w:cs="宋体"/>
          <w:b/>
          <w:color w:val="000000"/>
          <w:sz w:val="28"/>
          <w:szCs w:val="28"/>
          <w:lang w:bidi="ar"/>
        </w:rPr>
      </w:pPr>
      <w:r>
        <w:rPr>
          <w:rFonts w:hint="eastAsia" w:ascii="宋体" w:hAnsi="宋体" w:cs="宋体"/>
          <w:b/>
          <w:color w:val="000000"/>
          <w:sz w:val="28"/>
          <w:szCs w:val="28"/>
          <w:lang w:bidi="ar"/>
        </w:rPr>
        <w:t>5 产品品质及认证情况</w:t>
      </w:r>
    </w:p>
    <w:p>
      <w:pPr>
        <w:widowControl w:val="0"/>
        <w:spacing w:line="360" w:lineRule="auto"/>
        <w:ind w:firstLine="480" w:firstLineChars="200"/>
        <w:rPr>
          <w:rFonts w:ascii="仿宋" w:hAnsi="仿宋" w:eastAsia="仿宋"/>
          <w:sz w:val="24"/>
          <w:szCs w:val="24"/>
        </w:rPr>
      </w:pPr>
      <w:r>
        <w:rPr>
          <w:rFonts w:hint="eastAsia" w:ascii="仿宋" w:hAnsi="仿宋" w:eastAsia="仿宋"/>
          <w:sz w:val="24"/>
          <w:szCs w:val="24"/>
        </w:rPr>
        <w:t>天津三和铁制品有限公司始终坚持以客户和市场为导向，致力于为客户提供优质满意的产品和服务。1999年取得英国劳氏船级社ISO9002国际质量体系认证，2013年6月通过ISO9001质量体系换版认证及ISO14000环境体系认证、ISO18000安全体系认证。另于2018年通过IATF16949：2016汽车质量管理体系标准认证。</w:t>
      </w:r>
    </w:p>
    <w:p>
      <w:pPr>
        <w:widowControl w:val="0"/>
        <w:rPr>
          <w:rFonts w:ascii="宋体" w:hAnsi="宋体" w:cs="宋体"/>
          <w:b/>
          <w:color w:val="000000"/>
          <w:sz w:val="28"/>
          <w:szCs w:val="28"/>
          <w:lang w:bidi="ar"/>
        </w:rPr>
      </w:pPr>
      <w:r>
        <w:rPr>
          <w:rFonts w:hint="eastAsia" w:ascii="宋体" w:hAnsi="宋体" w:cs="宋体"/>
          <w:b/>
          <w:color w:val="000000"/>
          <w:sz w:val="28"/>
          <w:szCs w:val="28"/>
          <w:lang w:bidi="ar"/>
        </w:rPr>
        <w:t>6 联系方式</w:t>
      </w:r>
    </w:p>
    <w:p>
      <w:pPr>
        <w:widowControl w:val="0"/>
        <w:spacing w:line="360" w:lineRule="auto"/>
        <w:ind w:firstLine="480" w:firstLineChars="200"/>
        <w:rPr>
          <w:rFonts w:ascii="仿宋" w:hAnsi="仿宋" w:eastAsia="仿宋"/>
          <w:sz w:val="24"/>
          <w:szCs w:val="24"/>
        </w:rPr>
      </w:pPr>
      <w:r>
        <w:rPr>
          <w:rFonts w:hint="eastAsia" w:ascii="仿宋" w:hAnsi="仿宋" w:eastAsia="仿宋"/>
          <w:sz w:val="24"/>
          <w:szCs w:val="24"/>
        </w:rPr>
        <w:t>地  址：天津市滨海新区大港经济技术开发区</w:t>
      </w:r>
    </w:p>
    <w:p>
      <w:pPr>
        <w:widowControl w:val="0"/>
        <w:spacing w:line="360" w:lineRule="auto"/>
        <w:ind w:firstLine="480" w:firstLineChars="200"/>
        <w:rPr>
          <w:rFonts w:ascii="仿宋" w:hAnsi="仿宋" w:eastAsia="仿宋"/>
          <w:sz w:val="24"/>
          <w:szCs w:val="24"/>
        </w:rPr>
      </w:pPr>
      <w:r>
        <w:rPr>
          <w:rFonts w:hint="eastAsia" w:ascii="仿宋" w:hAnsi="仿宋" w:eastAsia="仿宋"/>
          <w:sz w:val="24"/>
          <w:szCs w:val="24"/>
        </w:rPr>
        <w:t>网  址：</w:t>
      </w:r>
      <w:r>
        <w:fldChar w:fldCharType="begin"/>
      </w:r>
      <w:r>
        <w:instrText xml:space="preserve"> HYPERLINK "http://www.tjsanwa.com" </w:instrText>
      </w:r>
      <w:r>
        <w:fldChar w:fldCharType="separate"/>
      </w:r>
      <w:r>
        <w:rPr>
          <w:rFonts w:hint="eastAsia" w:ascii="仿宋" w:hAnsi="仿宋" w:eastAsia="仿宋"/>
          <w:sz w:val="24"/>
          <w:szCs w:val="24"/>
        </w:rPr>
        <w:t>www.tjsanwa.com</w:t>
      </w:r>
      <w:r>
        <w:rPr>
          <w:rFonts w:hint="eastAsia" w:ascii="仿宋" w:hAnsi="仿宋" w:eastAsia="仿宋"/>
          <w:sz w:val="24"/>
          <w:szCs w:val="24"/>
        </w:rPr>
        <w:fldChar w:fldCharType="end"/>
      </w:r>
    </w:p>
    <w:p>
      <w:pPr>
        <w:widowControl w:val="0"/>
        <w:spacing w:line="360" w:lineRule="auto"/>
        <w:ind w:firstLine="480" w:firstLineChars="200"/>
        <w:rPr>
          <w:rFonts w:ascii="仿宋" w:hAnsi="仿宋" w:eastAsia="仿宋"/>
          <w:sz w:val="24"/>
          <w:szCs w:val="24"/>
        </w:rPr>
      </w:pPr>
      <w:r>
        <w:rPr>
          <w:rFonts w:hint="eastAsia" w:ascii="仿宋" w:hAnsi="仿宋" w:eastAsia="仿宋"/>
          <w:sz w:val="24"/>
          <w:szCs w:val="24"/>
        </w:rPr>
        <w:t>联系人：韩梅梅</w:t>
      </w:r>
    </w:p>
    <w:p>
      <w:pPr>
        <w:widowControl w:val="0"/>
        <w:spacing w:line="360" w:lineRule="auto"/>
        <w:ind w:firstLine="480" w:firstLineChars="200"/>
        <w:rPr>
          <w:rFonts w:ascii="仿宋" w:hAnsi="仿宋" w:eastAsia="仿宋"/>
          <w:sz w:val="24"/>
          <w:szCs w:val="24"/>
        </w:rPr>
      </w:pPr>
      <w:r>
        <w:rPr>
          <w:rFonts w:hint="eastAsia" w:ascii="仿宋" w:hAnsi="仿宋" w:eastAsia="仿宋"/>
          <w:sz w:val="24"/>
          <w:szCs w:val="24"/>
        </w:rPr>
        <w:t>电  话：022-63100288（管理部）  022-63233588（营业）</w:t>
      </w:r>
    </w:p>
    <w:p>
      <w:pPr>
        <w:widowControl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邮  箱：hanmeimei_sanwa@163.com（办公室） </w:t>
      </w:r>
    </w:p>
    <w:p>
      <w:pPr>
        <w:widowControl w:val="0"/>
        <w:spacing w:line="360" w:lineRule="auto"/>
        <w:ind w:firstLine="480" w:firstLineChars="200"/>
        <w:rPr>
          <w:rFonts w:ascii="仿宋" w:hAnsi="仿宋" w:eastAsia="仿宋"/>
          <w:sz w:val="24"/>
          <w:szCs w:val="24"/>
        </w:rPr>
      </w:pPr>
      <w:r>
        <w:rPr>
          <w:rFonts w:hint="eastAsia" w:ascii="仿宋" w:hAnsi="仿宋" w:eastAsia="仿宋"/>
          <w:sz w:val="24"/>
          <w:szCs w:val="24"/>
        </w:rPr>
        <w:t>联系人手机：15211111111 (注：以上信息为年鉴编委会示例，非真实信息)</w:t>
      </w:r>
    </w:p>
    <w:sectPr>
      <w:pgSz w:w="11906" w:h="16838"/>
      <w:pgMar w:top="2098" w:right="1474" w:bottom="1985" w:left="1588"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2D707C-3DA1-4DBC-9FA2-D9E343404F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3D7565F2-2E3F-47D3-9897-F9ED6F1733D1}"/>
  </w:font>
  <w:font w:name="方正小标宋简体">
    <w:panose1 w:val="03000509000000000000"/>
    <w:charset w:val="86"/>
    <w:family w:val="script"/>
    <w:pitch w:val="default"/>
    <w:sig w:usb0="00000001" w:usb1="080E0000" w:usb2="00000000" w:usb3="00000000" w:csb0="00040000" w:csb1="00000000"/>
    <w:embedRegular r:id="rId3" w:fontKey="{AE13C9C8-FA31-4A4E-B85D-61789E9266BC}"/>
  </w:font>
  <w:font w:name="仿宋_GB2312">
    <w:altName w:val="仿宋"/>
    <w:panose1 w:val="00000000000000000000"/>
    <w:charset w:val="86"/>
    <w:family w:val="auto"/>
    <w:pitch w:val="default"/>
    <w:sig w:usb0="00000000" w:usb1="00000000" w:usb2="00000010" w:usb3="00000000" w:csb0="00040000" w:csb1="00000000"/>
    <w:embedRegular r:id="rId4" w:fontKey="{5F3CFBC2-A233-41B5-AD71-5C0210692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436804"/>
    </w:sdtPr>
    <w:sdtContent>
      <w:p>
        <w:pPr>
          <w:pStyle w:val="2"/>
          <w:wordWrap w:val="0"/>
          <w:jc w:val="right"/>
          <w:rPr>
            <w:rStyle w:val="12"/>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31307"/>
    </w:sdtPr>
    <w:sdtEndPr>
      <w:rPr>
        <w:rFonts w:ascii="宋体" w:hAnsi="宋体"/>
        <w:sz w:val="28"/>
        <w:szCs w:val="28"/>
      </w:rPr>
    </w:sdtEndPr>
    <w:sdtContent>
      <w:p>
        <w:pPr>
          <w:pStyle w:val="2"/>
          <w:ind w:firstLine="180" w:firstLineChars="100"/>
          <w:rPr>
            <w:rStyle w:val="12"/>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MzU2MDdmNDljZTAzNjlhZWM5MGU1OWIwN2U5NTAifQ=="/>
  </w:docVars>
  <w:rsids>
    <w:rsidRoot w:val="00554D75"/>
    <w:rsid w:val="00004052"/>
    <w:rsid w:val="00005C15"/>
    <w:rsid w:val="0004041E"/>
    <w:rsid w:val="00057E40"/>
    <w:rsid w:val="00065599"/>
    <w:rsid w:val="00066F5E"/>
    <w:rsid w:val="000849B2"/>
    <w:rsid w:val="000A04C1"/>
    <w:rsid w:val="000B0F5E"/>
    <w:rsid w:val="000B40B1"/>
    <w:rsid w:val="000B53DF"/>
    <w:rsid w:val="000D5FAA"/>
    <w:rsid w:val="000E6310"/>
    <w:rsid w:val="0011098F"/>
    <w:rsid w:val="00117A76"/>
    <w:rsid w:val="00132E26"/>
    <w:rsid w:val="00166D63"/>
    <w:rsid w:val="00183756"/>
    <w:rsid w:val="00183B50"/>
    <w:rsid w:val="00186131"/>
    <w:rsid w:val="001977EE"/>
    <w:rsid w:val="001A0378"/>
    <w:rsid w:val="001D04B3"/>
    <w:rsid w:val="001F0E1D"/>
    <w:rsid w:val="00204937"/>
    <w:rsid w:val="00207C83"/>
    <w:rsid w:val="00223B19"/>
    <w:rsid w:val="00225026"/>
    <w:rsid w:val="0023225C"/>
    <w:rsid w:val="00257879"/>
    <w:rsid w:val="00273B30"/>
    <w:rsid w:val="002A2BE0"/>
    <w:rsid w:val="002D7491"/>
    <w:rsid w:val="002E53EE"/>
    <w:rsid w:val="002E7766"/>
    <w:rsid w:val="002F750C"/>
    <w:rsid w:val="003145C2"/>
    <w:rsid w:val="003433EE"/>
    <w:rsid w:val="00344BF5"/>
    <w:rsid w:val="00347630"/>
    <w:rsid w:val="00353DBF"/>
    <w:rsid w:val="003606C3"/>
    <w:rsid w:val="00372649"/>
    <w:rsid w:val="00392740"/>
    <w:rsid w:val="003966C9"/>
    <w:rsid w:val="003A78EA"/>
    <w:rsid w:val="003C2550"/>
    <w:rsid w:val="003E7422"/>
    <w:rsid w:val="003F0560"/>
    <w:rsid w:val="00431D5B"/>
    <w:rsid w:val="004324D0"/>
    <w:rsid w:val="00433E89"/>
    <w:rsid w:val="00437A61"/>
    <w:rsid w:val="004424B7"/>
    <w:rsid w:val="00443A89"/>
    <w:rsid w:val="004479D6"/>
    <w:rsid w:val="00461698"/>
    <w:rsid w:val="004802AC"/>
    <w:rsid w:val="004870DB"/>
    <w:rsid w:val="004943E7"/>
    <w:rsid w:val="004970E2"/>
    <w:rsid w:val="004A44FE"/>
    <w:rsid w:val="004B02BA"/>
    <w:rsid w:val="004E5DE7"/>
    <w:rsid w:val="004F2D08"/>
    <w:rsid w:val="00511B47"/>
    <w:rsid w:val="00533C8C"/>
    <w:rsid w:val="00534D99"/>
    <w:rsid w:val="00540BE1"/>
    <w:rsid w:val="00554D75"/>
    <w:rsid w:val="0056215A"/>
    <w:rsid w:val="0056394E"/>
    <w:rsid w:val="005720AA"/>
    <w:rsid w:val="0057653B"/>
    <w:rsid w:val="00576FFA"/>
    <w:rsid w:val="00592E50"/>
    <w:rsid w:val="005A1DFC"/>
    <w:rsid w:val="005B7FDD"/>
    <w:rsid w:val="005E06B0"/>
    <w:rsid w:val="00604936"/>
    <w:rsid w:val="00624BD8"/>
    <w:rsid w:val="00630FFE"/>
    <w:rsid w:val="006368A1"/>
    <w:rsid w:val="006517F2"/>
    <w:rsid w:val="0068720F"/>
    <w:rsid w:val="006907A1"/>
    <w:rsid w:val="006A1649"/>
    <w:rsid w:val="006A2191"/>
    <w:rsid w:val="006B4D16"/>
    <w:rsid w:val="006B704A"/>
    <w:rsid w:val="006C3F0E"/>
    <w:rsid w:val="006E4777"/>
    <w:rsid w:val="00700EF3"/>
    <w:rsid w:val="007061BC"/>
    <w:rsid w:val="0072041A"/>
    <w:rsid w:val="007607C3"/>
    <w:rsid w:val="007636EF"/>
    <w:rsid w:val="00781CB0"/>
    <w:rsid w:val="007844CB"/>
    <w:rsid w:val="0078550F"/>
    <w:rsid w:val="00796166"/>
    <w:rsid w:val="007B152B"/>
    <w:rsid w:val="007D34D9"/>
    <w:rsid w:val="0080541B"/>
    <w:rsid w:val="00814428"/>
    <w:rsid w:val="00826BFF"/>
    <w:rsid w:val="008406EC"/>
    <w:rsid w:val="00847048"/>
    <w:rsid w:val="00850ADC"/>
    <w:rsid w:val="00853107"/>
    <w:rsid w:val="00863B59"/>
    <w:rsid w:val="008659DB"/>
    <w:rsid w:val="008667AC"/>
    <w:rsid w:val="00872D32"/>
    <w:rsid w:val="0087561D"/>
    <w:rsid w:val="0088667F"/>
    <w:rsid w:val="008A2D75"/>
    <w:rsid w:val="008A519D"/>
    <w:rsid w:val="008D01EA"/>
    <w:rsid w:val="00902C0D"/>
    <w:rsid w:val="0095000F"/>
    <w:rsid w:val="0097042E"/>
    <w:rsid w:val="009726BD"/>
    <w:rsid w:val="009946B4"/>
    <w:rsid w:val="009952FB"/>
    <w:rsid w:val="009A41CC"/>
    <w:rsid w:val="009B2EDA"/>
    <w:rsid w:val="009C4D44"/>
    <w:rsid w:val="009D089C"/>
    <w:rsid w:val="009D340C"/>
    <w:rsid w:val="009E0208"/>
    <w:rsid w:val="009F7C90"/>
    <w:rsid w:val="00A00252"/>
    <w:rsid w:val="00A00441"/>
    <w:rsid w:val="00A06624"/>
    <w:rsid w:val="00A1413A"/>
    <w:rsid w:val="00A57A2A"/>
    <w:rsid w:val="00A63A45"/>
    <w:rsid w:val="00A72F06"/>
    <w:rsid w:val="00A844CF"/>
    <w:rsid w:val="00A964AA"/>
    <w:rsid w:val="00AA1125"/>
    <w:rsid w:val="00AA1F1F"/>
    <w:rsid w:val="00AA68CD"/>
    <w:rsid w:val="00AB42C6"/>
    <w:rsid w:val="00AC418D"/>
    <w:rsid w:val="00AC7CF9"/>
    <w:rsid w:val="00AF7D74"/>
    <w:rsid w:val="00B05838"/>
    <w:rsid w:val="00B078DF"/>
    <w:rsid w:val="00B12D60"/>
    <w:rsid w:val="00B15335"/>
    <w:rsid w:val="00B44A58"/>
    <w:rsid w:val="00B5572F"/>
    <w:rsid w:val="00B55A15"/>
    <w:rsid w:val="00B64E02"/>
    <w:rsid w:val="00B711DA"/>
    <w:rsid w:val="00B729B6"/>
    <w:rsid w:val="00BC09E2"/>
    <w:rsid w:val="00BD4B65"/>
    <w:rsid w:val="00BF0C47"/>
    <w:rsid w:val="00C01EC7"/>
    <w:rsid w:val="00C149CC"/>
    <w:rsid w:val="00C17D05"/>
    <w:rsid w:val="00C238A1"/>
    <w:rsid w:val="00C25548"/>
    <w:rsid w:val="00C34794"/>
    <w:rsid w:val="00C36051"/>
    <w:rsid w:val="00C52AEB"/>
    <w:rsid w:val="00C53886"/>
    <w:rsid w:val="00C54A48"/>
    <w:rsid w:val="00C658ED"/>
    <w:rsid w:val="00C74B4D"/>
    <w:rsid w:val="00C80631"/>
    <w:rsid w:val="00C83B2D"/>
    <w:rsid w:val="00CB18F6"/>
    <w:rsid w:val="00CB6DA5"/>
    <w:rsid w:val="00CB7A78"/>
    <w:rsid w:val="00CC4DDA"/>
    <w:rsid w:val="00CD7399"/>
    <w:rsid w:val="00CF7C7C"/>
    <w:rsid w:val="00D25A8D"/>
    <w:rsid w:val="00D364C7"/>
    <w:rsid w:val="00D378B2"/>
    <w:rsid w:val="00D57FD5"/>
    <w:rsid w:val="00D86426"/>
    <w:rsid w:val="00D90DCB"/>
    <w:rsid w:val="00DB3FFA"/>
    <w:rsid w:val="00DD6F52"/>
    <w:rsid w:val="00E03689"/>
    <w:rsid w:val="00E20CF0"/>
    <w:rsid w:val="00E33DAE"/>
    <w:rsid w:val="00E370FD"/>
    <w:rsid w:val="00E53A7A"/>
    <w:rsid w:val="00E63326"/>
    <w:rsid w:val="00E70816"/>
    <w:rsid w:val="00E73901"/>
    <w:rsid w:val="00E80093"/>
    <w:rsid w:val="00EA50BE"/>
    <w:rsid w:val="00ED3D6B"/>
    <w:rsid w:val="00ED46C6"/>
    <w:rsid w:val="00EE57F8"/>
    <w:rsid w:val="00EE5E16"/>
    <w:rsid w:val="00F0479B"/>
    <w:rsid w:val="00F07205"/>
    <w:rsid w:val="00F2615A"/>
    <w:rsid w:val="00F45D7A"/>
    <w:rsid w:val="00F63FFB"/>
    <w:rsid w:val="00F86C4A"/>
    <w:rsid w:val="00F96AC8"/>
    <w:rsid w:val="00F979B8"/>
    <w:rsid w:val="00FA61A4"/>
    <w:rsid w:val="00FF196A"/>
    <w:rsid w:val="018C33F1"/>
    <w:rsid w:val="0EFB1BB6"/>
    <w:rsid w:val="13CC6A71"/>
    <w:rsid w:val="1A0B2F35"/>
    <w:rsid w:val="1AA72BF2"/>
    <w:rsid w:val="1CC47B4D"/>
    <w:rsid w:val="294066EC"/>
    <w:rsid w:val="29780EB9"/>
    <w:rsid w:val="2D770247"/>
    <w:rsid w:val="2EEE64F3"/>
    <w:rsid w:val="2EFA10EB"/>
    <w:rsid w:val="357C0AAC"/>
    <w:rsid w:val="3779106C"/>
    <w:rsid w:val="38356D2C"/>
    <w:rsid w:val="38BB18EB"/>
    <w:rsid w:val="391B05DB"/>
    <w:rsid w:val="3EF17834"/>
    <w:rsid w:val="40E06E69"/>
    <w:rsid w:val="463D7DE3"/>
    <w:rsid w:val="47700A59"/>
    <w:rsid w:val="47AC4AFE"/>
    <w:rsid w:val="4DA428BF"/>
    <w:rsid w:val="4DCE6E87"/>
    <w:rsid w:val="4E5020C0"/>
    <w:rsid w:val="4E9C3B15"/>
    <w:rsid w:val="52AD3100"/>
    <w:rsid w:val="5BAA7C01"/>
    <w:rsid w:val="5BED775E"/>
    <w:rsid w:val="62C0797A"/>
    <w:rsid w:val="68DA26C8"/>
    <w:rsid w:val="6FAB07A1"/>
    <w:rsid w:val="71C93459"/>
    <w:rsid w:val="757C5983"/>
    <w:rsid w:val="766703E1"/>
    <w:rsid w:val="78D93E55"/>
    <w:rsid w:val="7A364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iPriority w:val="99"/>
    <w:pPr>
      <w:tabs>
        <w:tab w:val="center" w:pos="4153"/>
        <w:tab w:val="right" w:pos="8306"/>
      </w:tabs>
      <w:snapToGrid w:val="0"/>
      <w:jc w:val="left"/>
    </w:pPr>
    <w:rPr>
      <w:sz w:val="18"/>
      <w:szCs w:val="18"/>
    </w:rPr>
  </w:style>
  <w:style w:type="paragraph" w:styleId="3">
    <w:name w:val="header"/>
    <w:basedOn w:val="1"/>
    <w:link w:val="15"/>
    <w:uiPriority w:val="0"/>
    <w:pPr>
      <w:pBdr>
        <w:bottom w:val="single" w:color="000000" w:sz="6" w:space="1"/>
      </w:pBdr>
      <w:tabs>
        <w:tab w:val="center" w:pos="4153"/>
        <w:tab w:val="right" w:pos="8306"/>
      </w:tabs>
      <w:snapToGrid w:val="0"/>
      <w:jc w:val="center"/>
    </w:pPr>
    <w:rPr>
      <w:sz w:val="18"/>
      <w:szCs w:val="18"/>
    </w:rPr>
  </w:style>
  <w:style w:type="paragraph" w:styleId="4">
    <w:name w:val="Title"/>
    <w:basedOn w:val="1"/>
    <w:uiPriority w:val="0"/>
    <w:pPr>
      <w:spacing w:before="240" w:after="60"/>
      <w:jc w:val="center"/>
    </w:pPr>
    <w:rPr>
      <w:rFonts w:ascii="Arial" w:hAnsi="Arial"/>
      <w:sz w:val="32"/>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autoRedefine/>
    <w:semiHidden/>
    <w:unhideWhenUsed/>
    <w:uiPriority w:val="99"/>
    <w:rPr>
      <w:color w:val="954F72"/>
      <w:u w:val="single"/>
    </w:rPr>
  </w:style>
  <w:style w:type="character" w:styleId="9">
    <w:name w:val="Hyperlink"/>
    <w:basedOn w:val="7"/>
    <w:autoRedefine/>
    <w:semiHidden/>
    <w:unhideWhenUsed/>
    <w:qFormat/>
    <w:uiPriority w:val="99"/>
    <w:rPr>
      <w:color w:val="0000FF"/>
      <w:u w:val="single"/>
    </w:rPr>
  </w:style>
  <w:style w:type="paragraph" w:customStyle="1" w:styleId="10">
    <w:name w:val="Heading1"/>
    <w:basedOn w:val="1"/>
    <w:next w:val="1"/>
    <w:autoRedefine/>
    <w:qFormat/>
    <w:uiPriority w:val="0"/>
    <w:pPr>
      <w:spacing w:line="428" w:lineRule="exact"/>
      <w:ind w:left="462"/>
    </w:pPr>
    <w:rPr>
      <w:rFonts w:ascii="等线" w:hAnsi="等线" w:eastAsia="等线" w:cs="等线"/>
      <w:sz w:val="32"/>
      <w:szCs w:val="32"/>
    </w:rPr>
  </w:style>
  <w:style w:type="paragraph" w:customStyle="1" w:styleId="11">
    <w:name w:val="Heading2"/>
    <w:basedOn w:val="1"/>
    <w:next w:val="1"/>
    <w:qFormat/>
    <w:uiPriority w:val="0"/>
    <w:pPr>
      <w:ind w:left="165"/>
    </w:pPr>
    <w:rPr>
      <w:rFonts w:ascii="仿宋" w:hAnsi="仿宋" w:eastAsia="仿宋" w:cs="仿宋"/>
      <w:sz w:val="28"/>
      <w:szCs w:val="28"/>
    </w:rPr>
  </w:style>
  <w:style w:type="character" w:customStyle="1" w:styleId="12">
    <w:name w:val="NormalCharacter"/>
    <w:autoRedefine/>
    <w:qFormat/>
    <w:uiPriority w:val="0"/>
  </w:style>
  <w:style w:type="table" w:customStyle="1" w:styleId="13">
    <w:name w:val="TableNormal"/>
    <w:autoRedefine/>
    <w:uiPriority w:val="0"/>
    <w:tblPr>
      <w:tblCellMar>
        <w:top w:w="0" w:type="dxa"/>
        <w:left w:w="0" w:type="dxa"/>
        <w:bottom w:w="0" w:type="dxa"/>
        <w:right w:w="0" w:type="dxa"/>
      </w:tblCellMar>
    </w:tblPr>
  </w:style>
  <w:style w:type="character" w:customStyle="1" w:styleId="14">
    <w:name w:val="页脚 Char"/>
    <w:basedOn w:val="12"/>
    <w:link w:val="2"/>
    <w:autoRedefine/>
    <w:qFormat/>
    <w:uiPriority w:val="99"/>
    <w:rPr>
      <w:rFonts w:ascii="Calibri" w:hAnsi="Calibri"/>
      <w:kern w:val="2"/>
      <w:sz w:val="18"/>
      <w:szCs w:val="18"/>
    </w:rPr>
  </w:style>
  <w:style w:type="character" w:customStyle="1" w:styleId="15">
    <w:name w:val="页眉 Char"/>
    <w:basedOn w:val="12"/>
    <w:link w:val="3"/>
    <w:autoRedefine/>
    <w:qFormat/>
    <w:uiPriority w:val="0"/>
    <w:rPr>
      <w:rFonts w:ascii="Calibri" w:hAnsi="Calibri"/>
      <w:kern w:val="2"/>
      <w:sz w:val="18"/>
      <w:szCs w:val="18"/>
    </w:rPr>
  </w:style>
  <w:style w:type="character" w:customStyle="1" w:styleId="16">
    <w:name w:val="UserStyle_2"/>
    <w:basedOn w:val="12"/>
    <w:autoRedefine/>
    <w:qFormat/>
    <w:uiPriority w:val="0"/>
  </w:style>
  <w:style w:type="character" w:customStyle="1" w:styleId="17">
    <w:name w:val="UserStyle_3"/>
    <w:basedOn w:val="12"/>
    <w:link w:val="18"/>
    <w:autoRedefine/>
    <w:uiPriority w:val="0"/>
    <w:rPr>
      <w:kern w:val="2"/>
      <w:sz w:val="18"/>
      <w:szCs w:val="18"/>
    </w:rPr>
  </w:style>
  <w:style w:type="paragraph" w:customStyle="1" w:styleId="18">
    <w:name w:val="Acetate"/>
    <w:basedOn w:val="1"/>
    <w:link w:val="17"/>
    <w:autoRedefine/>
    <w:qFormat/>
    <w:uiPriority w:val="0"/>
    <w:rPr>
      <w:sz w:val="18"/>
      <w:szCs w:val="18"/>
    </w:rPr>
  </w:style>
  <w:style w:type="paragraph" w:customStyle="1" w:styleId="19">
    <w:name w:val="HtmlNormal"/>
    <w:basedOn w:val="1"/>
    <w:autoRedefine/>
    <w:qFormat/>
    <w:uiPriority w:val="0"/>
    <w:pPr>
      <w:spacing w:beforeAutospacing="1" w:afterAutospacing="1"/>
      <w:jc w:val="left"/>
    </w:pPr>
    <w:rPr>
      <w:kern w:val="0"/>
      <w:sz w:val="24"/>
    </w:rPr>
  </w:style>
  <w:style w:type="paragraph" w:customStyle="1" w:styleId="20">
    <w:name w:val="179"/>
    <w:basedOn w:val="1"/>
    <w:autoRedefine/>
    <w:qFormat/>
    <w:uiPriority w:val="0"/>
    <w:pPr>
      <w:spacing w:before="43"/>
      <w:ind w:left="991" w:hanging="350"/>
    </w:pPr>
  </w:style>
  <w:style w:type="paragraph" w:customStyle="1" w:styleId="21">
    <w:name w:val="UserStyle_4"/>
    <w:basedOn w:val="1"/>
    <w:autoRedefine/>
    <w:qFormat/>
    <w:uiPriority w:val="0"/>
  </w:style>
  <w:style w:type="paragraph" w:customStyle="1" w:styleId="22">
    <w:name w:val="BodyText"/>
    <w:basedOn w:val="1"/>
    <w:autoRedefine/>
    <w:qFormat/>
    <w:uiPriority w:val="0"/>
    <w:pPr>
      <w:spacing w:before="43"/>
    </w:pPr>
    <w:rPr>
      <w:sz w:val="24"/>
      <w:szCs w:val="24"/>
    </w:rPr>
  </w:style>
  <w:style w:type="paragraph" w:customStyle="1" w:styleId="23">
    <w:name w:val="UserStyle_5"/>
    <w:basedOn w:val="4"/>
    <w:autoRedefine/>
    <w:qFormat/>
    <w:uiPriority w:val="0"/>
  </w:style>
  <w:style w:type="table" w:customStyle="1" w:styleId="24">
    <w:name w:val="UserStyle_6"/>
    <w:autoRedefine/>
    <w:qFormat/>
    <w:uiPriority w:val="0"/>
    <w:tblPr>
      <w:tblCellMar>
        <w:top w:w="0" w:type="dxa"/>
        <w:left w:w="0" w:type="dxa"/>
        <w:bottom w:w="0" w:type="dxa"/>
        <w:right w:w="0" w:type="dxa"/>
      </w:tblCellMar>
    </w:tbl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D724-6D38-4F39-9E65-186DBFEC908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353</Words>
  <Characters>2013</Characters>
  <Lines>16</Lines>
  <Paragraphs>4</Paragraphs>
  <TotalTime>2</TotalTime>
  <ScaleCrop>false</ScaleCrop>
  <LinksUpToDate>false</LinksUpToDate>
  <CharactersWithSpaces>2362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2024-01-15T09:33:00Z</dcterms:created>
  <dc:creator>cfa</dc:creator>
  <cp:lastModifiedBy>张凯</cp:lastModifiedBy>
  <cp:lastPrinted>2024-01-15T09:34:00Z</cp:lastPrinted>
  <dcterms:modified xsi:type="dcterms:W3CDTF">2024-01-24T01:28:58Z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67F0DA48995F402DB851717371A2FBD7_13</vt:lpwstr>
  </property>
</Properties>
</file>