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w:t>
            </w:r>
            <w:r>
              <w:rPr>
                <w:rFonts w:hint="eastAsia" w:ascii="黑体" w:hAnsi="黑体" w:eastAsia="黑体"/>
                <w:sz w:val="21"/>
                <w:szCs w:val="21"/>
              </w:rPr>
              <w:t>5.</w:t>
            </w:r>
            <w:r>
              <w:rPr>
                <w:rFonts w:ascii="黑体" w:hAnsi="黑体" w:eastAsia="黑体"/>
                <w:sz w:val="21"/>
                <w:szCs w:val="21"/>
              </w:rPr>
              <w:t>200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J</w:t>
            </w:r>
            <w:r>
              <w:rPr>
                <w:rFonts w:ascii="黑体" w:hAnsi="黑体" w:eastAsia="黑体"/>
                <w:sz w:val="21"/>
                <w:szCs w:val="21"/>
              </w:rPr>
              <w:t xml:space="preserve"> </w:t>
            </w:r>
            <w:r>
              <w:rPr>
                <w:rFonts w:hint="eastAsia" w:ascii="黑体" w:hAnsi="黑体" w:eastAsia="黑体"/>
                <w:sz w:val="21"/>
                <w:szCs w:val="21"/>
              </w:rPr>
              <w:t>31</w:t>
            </w:r>
            <w:r>
              <w:rPr>
                <w:rFonts w:ascii="黑体" w:hAnsi="黑体" w:eastAsia="黑体"/>
                <w:sz w:val="21"/>
                <w:szCs w:val="21"/>
              </w:rPr>
              <w:fldChar w:fldCharType="end"/>
            </w:r>
            <w:bookmarkEnd w:id="1"/>
          </w:p>
        </w:tc>
      </w:tr>
    </w:tbl>
    <w:p>
      <w:pPr>
        <w:pStyle w:val="52"/>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pPr>
        <w:pStyle w:val="197"/>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CFA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pPr>
        <w:pStyle w:val="198"/>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2"/>
        <w:framePr w:w="9639" w:h="6976" w:hRule="exact" w:hSpace="0" w:vSpace="0" w:wrap="around" w:hAnchor="page" w:y="6408"/>
        <w:jc w:val="center"/>
        <w:rPr>
          <w:rFonts w:ascii="黑体" w:hAnsi="黑体" w:eastAsia="黑体"/>
          <w:b w:val="0"/>
          <w:bCs w:val="0"/>
          <w:w w:val="100"/>
        </w:rPr>
      </w:pPr>
    </w:p>
    <w:p>
      <w:pPr>
        <w:pStyle w:val="199"/>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铸</w:t>
      </w:r>
      <w:r>
        <w:rPr>
          <w:rFonts w:hint="eastAsia"/>
        </w:rPr>
        <w:t>造企业制造执行系统 数据接口要求</w:t>
      </w:r>
      <w:r>
        <w:fldChar w:fldCharType="end"/>
      </w:r>
      <w:bookmarkEnd w:id="7"/>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Data interface specifications for foundry enterprises manufacturing execution system</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5"/>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6"/>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3"/>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中国铸造协会</w:t>
      </w:r>
      <w:r>
        <w:rPr>
          <w:rFonts w:hAnsi="黑体"/>
          <w:w w:val="100"/>
          <w:sz w:val="28"/>
        </w:rPr>
        <w:fldChar w:fldCharType="end"/>
      </w:r>
      <w:bookmarkEnd w:id="18"/>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3"/>
        <w:spacing w:after="360"/>
      </w:pPr>
      <w:bookmarkStart w:id="19"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rPr>
          <w:rFonts w:hint="eastAsia" w:hAnsi="宋体" w:cs="宋体"/>
        </w:rPr>
        <w:fldChar w:fldCharType="begin"/>
      </w:r>
      <w:r>
        <w:rPr>
          <w:rFonts w:hint="eastAsia" w:hAnsi="宋体" w:cs="宋体"/>
        </w:rPr>
        <w:instrText xml:space="preserve"> TOC \o "1-1" \h \t "标准文件_一级条标题,2,标准文件_二级条标题,3,标准文件_附录一级条标题,2,标准文件_附录二级条标题,3," </w:instrText>
      </w:r>
      <w:r>
        <w:rPr>
          <w:rFonts w:hint="eastAsia" w:hAnsi="宋体" w:cs="宋体"/>
        </w:rPr>
        <w:fldChar w:fldCharType="separate"/>
      </w:r>
      <w:r>
        <w:fldChar w:fldCharType="begin"/>
      </w:r>
      <w:r>
        <w:instrText xml:space="preserve"> HYPERLINK \l "_Toc135229410" </w:instrText>
      </w:r>
      <w:r>
        <w:fldChar w:fldCharType="separate"/>
      </w:r>
      <w:r>
        <w:rPr>
          <w:rStyle w:val="34"/>
          <w:spacing w:val="320"/>
        </w:rPr>
        <w:t>前</w:t>
      </w:r>
      <w:r>
        <w:rPr>
          <w:rStyle w:val="34"/>
        </w:rPr>
        <w:t>言</w:t>
      </w:r>
      <w:r>
        <w:tab/>
      </w:r>
      <w:r>
        <w:fldChar w:fldCharType="begin"/>
      </w:r>
      <w:r>
        <w:instrText xml:space="preserve"> PAGEREF _Toc135229410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"_Toc135229411" </w:instrText>
      </w:r>
      <w:r>
        <w:fldChar w:fldCharType="separate"/>
      </w:r>
      <w:r>
        <w:rPr>
          <w:rStyle w:val="34"/>
        </w:rPr>
        <w:t>引      言</w:t>
      </w:r>
      <w:r>
        <w:tab/>
      </w:r>
      <w:r>
        <w:fldChar w:fldCharType="begin"/>
      </w:r>
      <w:r>
        <w:instrText xml:space="preserve"> PAGEREF _Toc135229411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"_Toc135229412" </w:instrText>
      </w:r>
      <w:r>
        <w:fldChar w:fldCharType="separate"/>
      </w:r>
      <w:r>
        <w:rPr>
          <w:rStyle w:val="34"/>
        </w:rPr>
        <w:t>1 范围</w:t>
      </w:r>
      <w:r>
        <w:tab/>
      </w:r>
      <w:r>
        <w:fldChar w:fldCharType="begin"/>
      </w:r>
      <w:r>
        <w:instrText xml:space="preserve"> PAGEREF _Toc135229412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"_Toc135229413" </w:instrText>
      </w:r>
      <w:r>
        <w:fldChar w:fldCharType="separate"/>
      </w:r>
      <w:r>
        <w:rPr>
          <w:rStyle w:val="34"/>
        </w:rPr>
        <w:t>2 规范性引用文件</w:t>
      </w:r>
      <w:r>
        <w:tab/>
      </w:r>
      <w:r>
        <w:fldChar w:fldCharType="begin"/>
      </w:r>
      <w:r>
        <w:instrText xml:space="preserve"> PAGEREF _Toc135229413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"_Toc135229414" </w:instrText>
      </w:r>
      <w:r>
        <w:fldChar w:fldCharType="separate"/>
      </w:r>
      <w:r>
        <w:rPr>
          <w:rStyle w:val="34"/>
        </w:rPr>
        <w:t>3 术语、定义和缩略语</w:t>
      </w:r>
      <w:r>
        <w:tab/>
      </w:r>
      <w:r>
        <w:fldChar w:fldCharType="begin"/>
      </w:r>
      <w:r>
        <w:instrText xml:space="preserve"> PAGEREF _Toc135229414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"_Toc135229415" </w:instrText>
      </w:r>
      <w:r>
        <w:fldChar w:fldCharType="separate"/>
      </w:r>
      <w:r>
        <w:rPr>
          <w:rStyle w:val="34"/>
          <w14:scene3d>
            <w14:lightRig w14:rig="threePt" w14:dir="t">
              <w14:rot w14:lat="0" w14:lon="0" w14:rev="0"/>
            </w14:lightRig>
          </w14:scene3d>
        </w:rPr>
        <w:t>3.1</w:t>
      </w:r>
      <w:r>
        <w:rPr>
          <w:rStyle w:val="34"/>
        </w:rPr>
        <w:t xml:space="preserve"> 术语和定义</w:t>
      </w:r>
      <w:r>
        <w:tab/>
      </w:r>
      <w:r>
        <w:fldChar w:fldCharType="begin"/>
      </w:r>
      <w:r>
        <w:instrText xml:space="preserve"> PAGEREF _Toc135229415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"_Toc135229416" </w:instrText>
      </w:r>
      <w:r>
        <w:fldChar w:fldCharType="separate"/>
      </w:r>
      <w:r>
        <w:rPr>
          <w:rStyle w:val="34"/>
          <w14:scene3d>
            <w14:lightRig w14:rig="threePt" w14:dir="t">
              <w14:rot w14:lat="0" w14:lon="0" w14:rev="0"/>
            </w14:lightRig>
          </w14:scene3d>
        </w:rPr>
        <w:t>3.2</w:t>
      </w:r>
      <w:r>
        <w:rPr>
          <w:rStyle w:val="34"/>
        </w:rPr>
        <w:t xml:space="preserve"> 缩略语</w:t>
      </w:r>
      <w:r>
        <w:tab/>
      </w:r>
      <w:r>
        <w:fldChar w:fldCharType="begin"/>
      </w:r>
      <w:r>
        <w:instrText xml:space="preserve"> PAGEREF _Toc135229416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"_Toc135229417" </w:instrText>
      </w:r>
      <w:r>
        <w:fldChar w:fldCharType="separate"/>
      </w:r>
      <w:r>
        <w:rPr>
          <w:rStyle w:val="34"/>
        </w:rPr>
        <w:t>4</w:t>
      </w:r>
      <w:r>
        <w:rPr>
          <w:rStyle w:val="34"/>
          <w:lang w:bidi="ar"/>
        </w:rPr>
        <w:t xml:space="preserve"> MES与</w:t>
      </w:r>
      <w:r>
        <w:rPr>
          <w:rStyle w:val="34"/>
        </w:rPr>
        <w:t>业务</w:t>
      </w:r>
      <w:r>
        <w:rPr>
          <w:rStyle w:val="34"/>
          <w:lang w:bidi="ar"/>
        </w:rPr>
        <w:t>管理系统的接口信息类型</w:t>
      </w:r>
      <w:r>
        <w:tab/>
      </w:r>
      <w:r>
        <w:fldChar w:fldCharType="begin"/>
      </w:r>
      <w:r>
        <w:instrText xml:space="preserve"> PAGEREF _Toc135229417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"_Toc135229418" </w:instrText>
      </w:r>
      <w:r>
        <w:fldChar w:fldCharType="separate"/>
      </w:r>
      <w:r>
        <w:rPr>
          <w:rStyle w:val="34"/>
          <w14:scene3d>
            <w14:lightRig w14:rig="threePt" w14:dir="t">
              <w14:rot w14:lat="0" w14:lon="0" w14:rev="0"/>
            </w14:lightRig>
          </w14:scene3d>
        </w:rPr>
        <w:t>4.1</w:t>
      </w:r>
      <w:r>
        <w:rPr>
          <w:rStyle w:val="34"/>
        </w:rPr>
        <w:t xml:space="preserve"> 概述</w:t>
      </w:r>
      <w:r>
        <w:tab/>
      </w:r>
      <w:r>
        <w:fldChar w:fldCharType="begin"/>
      </w:r>
      <w:r>
        <w:instrText xml:space="preserve"> PAGEREF _Toc135229418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"_Toc135229419" </w:instrText>
      </w:r>
      <w:r>
        <w:fldChar w:fldCharType="separate"/>
      </w:r>
      <w:r>
        <w:rPr>
          <w:rStyle w:val="34"/>
          <w14:scene3d>
            <w14:lightRig w14:rig="threePt" w14:dir="t">
              <w14:rot w14:lat="0" w14:lon="0" w14:rev="0"/>
            </w14:lightRig>
          </w14:scene3d>
        </w:rPr>
        <w:t>4.2</w:t>
      </w:r>
      <w:r>
        <w:rPr>
          <w:rStyle w:val="34"/>
          <w:lang w:bidi="ar"/>
        </w:rPr>
        <w:t xml:space="preserve"> 接口信息类型</w:t>
      </w:r>
      <w:r>
        <w:tab/>
      </w:r>
      <w:r>
        <w:fldChar w:fldCharType="begin"/>
      </w:r>
      <w:r>
        <w:instrText xml:space="preserve"> PAGEREF _Toc135229419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"_Toc135229426" </w:instrText>
      </w:r>
      <w:r>
        <w:fldChar w:fldCharType="separate"/>
      </w:r>
      <w:r>
        <w:rPr>
          <w:rStyle w:val="34"/>
        </w:rPr>
        <w:t>5</w:t>
      </w:r>
      <w:r>
        <w:rPr>
          <w:rStyle w:val="34"/>
          <w:lang w:bidi="ar"/>
        </w:rPr>
        <w:t xml:space="preserve"> 接口信息</w:t>
      </w:r>
      <w:r>
        <w:rPr>
          <w:rStyle w:val="34"/>
          <w:rFonts w:hAnsi="宋体"/>
          <w:lang w:bidi="ar"/>
        </w:rPr>
        <w:t>交换</w:t>
      </w:r>
      <w:r>
        <w:rPr>
          <w:rStyle w:val="34"/>
          <w:lang w:bidi="ar"/>
        </w:rPr>
        <w:t>要求</w:t>
      </w:r>
      <w:r>
        <w:tab/>
      </w:r>
      <w:r>
        <w:fldChar w:fldCharType="begin"/>
      </w:r>
      <w:r>
        <w:instrText xml:space="preserve"> PAGEREF _Toc135229426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"_Toc135229427" </w:instrText>
      </w:r>
      <w:r>
        <w:fldChar w:fldCharType="separate"/>
      </w:r>
      <w:r>
        <w:rPr>
          <w:rStyle w:val="34"/>
          <w14:scene3d>
            <w14:lightRig w14:rig="threePt" w14:dir="t">
              <w14:rot w14:lat="0" w14:lon="0" w14:rev="0"/>
            </w14:lightRig>
          </w14:scene3d>
        </w:rPr>
        <w:t>5.1</w:t>
      </w:r>
      <w:r>
        <w:rPr>
          <w:rStyle w:val="34"/>
          <w:lang w:bidi="ar"/>
        </w:rPr>
        <w:t xml:space="preserve"> 概述</w:t>
      </w:r>
      <w:r>
        <w:tab/>
      </w:r>
      <w:r>
        <w:fldChar w:fldCharType="begin"/>
      </w:r>
      <w:r>
        <w:instrText xml:space="preserve"> PAGEREF _Toc135229427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"_Toc135229428" </w:instrText>
      </w:r>
      <w:r>
        <w:fldChar w:fldCharType="separate"/>
      </w:r>
      <w:r>
        <w:rPr>
          <w:rStyle w:val="34"/>
          <w14:scene3d>
            <w14:lightRig w14:rig="threePt" w14:dir="t">
              <w14:rot w14:lat="0" w14:lon="0" w14:rev="0"/>
            </w14:lightRig>
          </w14:scene3d>
        </w:rPr>
        <w:t>5.2</w:t>
      </w:r>
      <w:r>
        <w:rPr>
          <w:rStyle w:val="34"/>
          <w:lang w:bidi="ar"/>
        </w:rPr>
        <w:t xml:space="preserve"> 消息类型</w:t>
      </w:r>
      <w:r>
        <w:tab/>
      </w:r>
      <w:r>
        <w:fldChar w:fldCharType="begin"/>
      </w:r>
      <w:r>
        <w:instrText xml:space="preserve"> PAGEREF _Toc135229428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"_Toc135229429" </w:instrText>
      </w:r>
      <w:r>
        <w:fldChar w:fldCharType="separate"/>
      </w:r>
      <w:r>
        <w:rPr>
          <w:rStyle w:val="34"/>
          <w14:scene3d>
            <w14:lightRig w14:rig="threePt" w14:dir="t">
              <w14:rot w14:lat="0" w14:lon="0" w14:rev="0"/>
            </w14:lightRig>
          </w14:scene3d>
        </w:rPr>
        <w:t>5.3</w:t>
      </w:r>
      <w:r>
        <w:rPr>
          <w:rStyle w:val="34"/>
          <w:lang w:bidi="ar"/>
        </w:rPr>
        <w:t xml:space="preserve"> 消息交互方式</w:t>
      </w:r>
      <w:r>
        <w:tab/>
      </w:r>
      <w:r>
        <w:fldChar w:fldCharType="begin"/>
      </w:r>
      <w:r>
        <w:instrText xml:space="preserve"> PAGEREF _Toc135229429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"_Toc135229430" </w:instrText>
      </w:r>
      <w:r>
        <w:fldChar w:fldCharType="separate"/>
      </w:r>
      <w:r>
        <w:rPr>
          <w:rStyle w:val="34"/>
          <w14:scene3d>
            <w14:lightRig w14:rig="threePt" w14:dir="t">
              <w14:rot w14:lat="0" w14:lon="0" w14:rev="0"/>
            </w14:lightRig>
          </w14:scene3d>
        </w:rPr>
        <w:t>5.4</w:t>
      </w:r>
      <w:r>
        <w:rPr>
          <w:rStyle w:val="34"/>
          <w:lang w:bidi="ar"/>
        </w:rPr>
        <w:t xml:space="preserve"> 消息发送调用方式</w:t>
      </w:r>
      <w:r>
        <w:tab/>
      </w:r>
      <w:r>
        <w:fldChar w:fldCharType="begin"/>
      </w:r>
      <w:r>
        <w:instrText xml:space="preserve"> PAGEREF _Toc135229430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"_Toc135229431" </w:instrText>
      </w:r>
      <w:r>
        <w:fldChar w:fldCharType="separate"/>
      </w:r>
      <w:r>
        <w:rPr>
          <w:rStyle w:val="34"/>
          <w14:scene3d>
            <w14:lightRig w14:rig="threePt" w14:dir="t">
              <w14:rot w14:lat="0" w14:lon="0" w14:rev="0"/>
            </w14:lightRig>
          </w14:scene3d>
        </w:rPr>
        <w:t>5.5</w:t>
      </w:r>
      <w:r>
        <w:rPr>
          <w:rStyle w:val="34"/>
          <w:lang w:bidi="ar"/>
        </w:rPr>
        <w:t xml:space="preserve"> 消息格式</w:t>
      </w:r>
      <w:r>
        <w:tab/>
      </w:r>
      <w:r>
        <w:fldChar w:fldCharType="begin"/>
      </w:r>
      <w:r>
        <w:instrText xml:space="preserve"> PAGEREF _Toc135229431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"_Toc135229435" </w:instrText>
      </w:r>
      <w:r>
        <w:fldChar w:fldCharType="separate"/>
      </w:r>
      <w:r>
        <w:rPr>
          <w:rStyle w:val="34"/>
          <w:spacing w:val="100"/>
        </w:rPr>
        <w:t>附录A</w:t>
      </w:r>
      <w:r>
        <w:rPr>
          <w:rStyle w:val="34"/>
        </w:rPr>
        <w:t xml:space="preserve"> （资料性） MES与业务管理系统的接口信息字段</w:t>
      </w:r>
      <w:r>
        <w:tab/>
      </w:r>
      <w:r>
        <w:fldChar w:fldCharType="begin"/>
      </w:r>
      <w:r>
        <w:instrText xml:space="preserve"> PAGEREF _Toc135229435 \h </w:instrText>
      </w:r>
      <w:r>
        <w:fldChar w:fldCharType="separate"/>
      </w:r>
      <w:r>
        <w:t>13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"_Toc135229436" </w:instrText>
      </w:r>
      <w:r>
        <w:fldChar w:fldCharType="separate"/>
      </w:r>
      <w:r>
        <w:rPr>
          <w:rStyle w:val="34"/>
          <w:spacing w:val="100"/>
        </w:rPr>
        <w:t>附录B</w:t>
      </w:r>
      <w:r>
        <w:rPr>
          <w:rStyle w:val="34"/>
        </w:rPr>
        <w:t xml:space="preserve"> （资料性） MES与业务管理系统的接口信息交换</w:t>
      </w:r>
      <w:r>
        <w:tab/>
      </w:r>
      <w:r>
        <w:fldChar w:fldCharType="begin"/>
      </w:r>
      <w:r>
        <w:instrText xml:space="preserve"> PAGEREF _Toc135229436 \h </w:instrText>
      </w:r>
      <w:r>
        <w:fldChar w:fldCharType="separate"/>
      </w:r>
      <w:r>
        <w:t>23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"_Toc135229443" </w:instrText>
      </w:r>
      <w:r>
        <w:fldChar w:fldCharType="separate"/>
      </w:r>
      <w:r>
        <w:rPr>
          <w:rStyle w:val="34"/>
          <w:spacing w:val="105"/>
        </w:rPr>
        <w:t>参考文</w:t>
      </w:r>
      <w:r>
        <w:rPr>
          <w:rStyle w:val="34"/>
        </w:rPr>
        <w:t>献</w:t>
      </w:r>
      <w:r>
        <w:tab/>
      </w:r>
      <w:r>
        <w:fldChar w:fldCharType="begin"/>
      </w:r>
      <w:r>
        <w:instrText xml:space="preserve"> PAGEREF _Toc135229443 \h </w:instrText>
      </w:r>
      <w:r>
        <w:fldChar w:fldCharType="separate"/>
      </w:r>
      <w:r>
        <w:t>32</w:t>
      </w:r>
      <w:r>
        <w:fldChar w:fldCharType="end"/>
      </w:r>
      <w:r>
        <w:fldChar w:fldCharType="end"/>
      </w:r>
    </w:p>
    <w:p>
      <w:pPr>
        <w:pStyle w:val="58"/>
        <w:spacing w:line="300" w:lineRule="exact"/>
        <w:ind w:firstLine="420"/>
        <w:rPr>
          <w:rFonts w:ascii="宋体" w:hAnsi="宋体" w:cs="宋体"/>
        </w:rPr>
      </w:pPr>
      <w:r>
        <w:rPr>
          <w:rFonts w:hint="eastAsia" w:ascii="宋体" w:hAnsi="宋体" w:cs="宋体"/>
        </w:rPr>
        <w:fldChar w:fldCharType="end"/>
      </w:r>
      <w:bookmarkStart w:id="20" w:name="muci"/>
      <w:bookmarkEnd w:id="20"/>
    </w:p>
    <w:p>
      <w:pPr>
        <w:pStyle w:val="58"/>
        <w:ind w:firstLine="420"/>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linePitch="312" w:charSpace="0"/>
        </w:sectPr>
      </w:pPr>
    </w:p>
    <w:bookmarkEnd w:id="19"/>
    <w:p>
      <w:pPr>
        <w:pStyle w:val="91"/>
        <w:spacing w:after="360"/>
      </w:pPr>
      <w:bookmarkStart w:id="21" w:name="_Toc135229410"/>
      <w:bookmarkStart w:id="22" w:name="BookMark2"/>
      <w:r>
        <w:rPr>
          <w:spacing w:val="320"/>
        </w:rPr>
        <w:t>前</w:t>
      </w:r>
      <w:r>
        <w:t>言</w:t>
      </w:r>
      <w:bookmarkEnd w:id="21"/>
    </w:p>
    <w:p>
      <w:pPr>
        <w:pStyle w:val="58"/>
        <w:ind w:firstLine="420"/>
      </w:pPr>
      <w:r>
        <w:rPr>
          <w:rFonts w:hint="eastAsia"/>
        </w:rPr>
        <w:t>本文件按照GB/T 1.1—2020《标准化工作导则  第1部分：标准化文件的结构和起草规则》的规定起草。</w:t>
      </w:r>
    </w:p>
    <w:p>
      <w:pPr>
        <w:pStyle w:val="58"/>
        <w:ind w:firstLine="420"/>
      </w:pPr>
      <w:r>
        <w:rPr>
          <w:rFonts w:hint="eastAsia"/>
        </w:rPr>
        <w:t>请注意本文件的某些内容可能涉及专利。本文件的发布机构不承担识别专利的责任。</w:t>
      </w:r>
    </w:p>
    <w:p>
      <w:pPr>
        <w:pStyle w:val="58"/>
        <w:ind w:firstLine="420"/>
      </w:pPr>
      <w:r>
        <w:rPr>
          <w:rFonts w:hint="eastAsia"/>
        </w:rPr>
        <w:t>本文件由中国铸造协会智能铸造工作委员会提出。</w:t>
      </w:r>
    </w:p>
    <w:p>
      <w:pPr>
        <w:pStyle w:val="58"/>
        <w:ind w:firstLine="420"/>
      </w:pPr>
      <w:r>
        <w:rPr>
          <w:rFonts w:hint="eastAsia"/>
        </w:rPr>
        <w:t>本文件由中国铸造协会归口。</w:t>
      </w:r>
    </w:p>
    <w:p>
      <w:pPr>
        <w:pStyle w:val="58"/>
        <w:ind w:firstLine="420"/>
      </w:pPr>
      <w:r>
        <w:rPr>
          <w:rFonts w:hint="eastAsia"/>
        </w:rPr>
        <w:t>本文件起草单位：共享智能铸造产业创新中心有限公司、×××。</w:t>
      </w:r>
    </w:p>
    <w:p>
      <w:pPr>
        <w:pStyle w:val="58"/>
        <w:ind w:firstLine="420"/>
      </w:pPr>
      <w:r>
        <w:rPr>
          <w:rFonts w:hint="eastAsia"/>
        </w:rPr>
        <w:t>本文件主要起草人：×××。</w:t>
      </w:r>
    </w:p>
    <w:p>
      <w:pPr>
        <w:pStyle w:val="58"/>
        <w:ind w:firstLine="420"/>
        <w:rPr>
          <w:rFonts w:hint="default" w:eastAsia="宋体"/>
          <w:lang w:val="en-US" w:eastAsia="zh-CN"/>
        </w:rPr>
      </w:pPr>
      <w:r>
        <w:rPr>
          <w:rFonts w:hint="eastAsia"/>
          <w:lang w:val="en-US" w:eastAsia="zh-CN"/>
        </w:rPr>
        <w:t>本文件为首次发布。</w:t>
      </w:r>
    </w:p>
    <w:p>
      <w:pPr>
        <w:pStyle w:val="58"/>
        <w:ind w:firstLine="420"/>
      </w:pPr>
    </w:p>
    <w:p>
      <w:pPr>
        <w:pStyle w:val="58"/>
        <w:ind w:firstLine="420"/>
      </w:pPr>
    </w:p>
    <w:p>
      <w:pPr>
        <w:pStyle w:val="91"/>
        <w:spacing w:after="360"/>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cols w:space="425" w:num="1"/>
          <w:formProt w:val="0"/>
          <w:docGrid w:linePitch="312" w:charSpace="0"/>
        </w:sectPr>
      </w:pPr>
    </w:p>
    <w:p>
      <w:pPr>
        <w:pStyle w:val="91"/>
        <w:spacing w:after="360"/>
      </w:pPr>
      <w:bookmarkStart w:id="23" w:name="_Toc135229411"/>
      <w:r>
        <w:rPr>
          <w:rFonts w:hint="eastAsia"/>
        </w:rPr>
        <w:t xml:space="preserve">引   </w:t>
      </w:r>
      <w:r>
        <w:t>言</w:t>
      </w:r>
      <w:bookmarkEnd w:id="23"/>
    </w:p>
    <w:p>
      <w:pPr>
        <w:pStyle w:val="58"/>
        <w:ind w:firstLine="420"/>
        <w:rPr>
          <w:rFonts w:hint="eastAsia" w:eastAsia="宋体"/>
          <w:lang w:eastAsia="zh-CN"/>
        </w:rPr>
      </w:pPr>
      <w:bookmarkStart w:id="24" w:name="OLE_LINK1"/>
      <w:r>
        <w:rPr>
          <w:rFonts w:hint="eastAsia"/>
        </w:rPr>
        <w:t>现制造执行系统MES的版本多，系统本身的业务及审批接口和管理及控制系统软件交互接口字段存在含义相同名称不同、入参与出参不一致但实现功能相同等情况，导致系统测试、问题诊断、系统运维等工作困难较大，且不具备铸造行业特色字段信息及功能，无法满足铸造行业需求</w:t>
      </w:r>
      <w:r>
        <w:rPr>
          <w:rFonts w:hint="eastAsia"/>
          <w:lang w:eastAsia="zh-CN"/>
        </w:rPr>
        <w:t>。</w:t>
      </w:r>
    </w:p>
    <w:p>
      <w:pPr>
        <w:pStyle w:val="58"/>
        <w:ind w:firstLine="420"/>
      </w:pPr>
      <w:r>
        <w:rPr>
          <w:rFonts w:hint="eastAsia"/>
        </w:rPr>
        <w:t>当前我国传统铸造行业正处于智能转型关键阶段，铸造企业面临数字化、信息化的改造转型，摆脱传统的生产制造模式，对于铸造执行系统的运用也在逐步尝试，用于提高计划及数据准确性、生产可控性等。铸造执行系统MES通过与其他业务管理控制软件之间建立规范的交互接口，可以实现生产过程的高效监控、数据的准确传递和业务流程的协同管理，提升企业的生产效率和质量水平。</w:t>
      </w:r>
    </w:p>
    <w:p>
      <w:pPr>
        <w:pStyle w:val="58"/>
        <w:ind w:firstLine="420"/>
        <w:rPr>
          <w:rFonts w:hint="eastAsia" w:eastAsia="宋体"/>
          <w:lang w:eastAsia="zh-CN"/>
        </w:rPr>
      </w:pPr>
      <w:r>
        <w:rPr>
          <w:rFonts w:hint="eastAsia"/>
        </w:rPr>
        <w:t>本文件通过规范铸造企业制造执行系统的接口和信息交换，来提高MES与铸造相关业务管理系统之间的可集成性，降低企业铸造执行系统实施集成过程中接口和交易信息的差异，而带来的风险、成本和失误，减少新产品的开发工作量。使用铸造企业制造执行系统接口标准所带来的潜在收益</w:t>
      </w:r>
      <w:r>
        <w:rPr>
          <w:rFonts w:hint="eastAsia"/>
          <w:lang w:eastAsia="zh-CN"/>
        </w:rPr>
        <w:t>：</w:t>
      </w:r>
    </w:p>
    <w:p>
      <w:pPr>
        <w:pStyle w:val="58"/>
        <w:ind w:firstLine="420"/>
      </w:pPr>
      <w:r>
        <w:rPr>
          <w:rFonts w:hint="eastAsia"/>
        </w:rPr>
        <w:t>——更加规范和统一业务和控制信息接口。</w:t>
      </w:r>
    </w:p>
    <w:p>
      <w:pPr>
        <w:pStyle w:val="58"/>
        <w:ind w:firstLine="420"/>
      </w:pPr>
      <w:r>
        <w:rPr>
          <w:rFonts w:hint="eastAsia"/>
        </w:rPr>
        <w:t>——帮助供应商为MES软件提供标准接口。</w:t>
      </w:r>
    </w:p>
    <w:p>
      <w:pPr>
        <w:pStyle w:val="58"/>
        <w:ind w:firstLine="420"/>
      </w:pPr>
      <w:r>
        <w:rPr>
          <w:rFonts w:hint="eastAsia"/>
        </w:rPr>
        <w:t>——减少MES软件产品的开发时间和成本。</w:t>
      </w:r>
    </w:p>
    <w:p>
      <w:pPr>
        <w:pStyle w:val="58"/>
        <w:ind w:firstLine="420"/>
      </w:pPr>
      <w:r>
        <w:rPr>
          <w:rFonts w:hint="eastAsia"/>
        </w:rPr>
        <w:t>——缩短系统实施周期和成本。</w:t>
      </w:r>
    </w:p>
    <w:bookmarkEnd w:id="22"/>
    <w:bookmarkEnd w:id="24"/>
    <w:p>
      <w:pPr>
        <w:pStyle w:val="58"/>
        <w:ind w:firstLine="420"/>
      </w:pPr>
      <w:bookmarkStart w:id="25" w:name="BookMark3"/>
    </w:p>
    <w:p>
      <w:pPr>
        <w:pStyle w:val="58"/>
        <w:ind w:firstLine="420"/>
        <w:sectPr>
          <w:headerReference r:id="rId17" w:type="default"/>
          <w:footerReference r:id="rId19" w:type="default"/>
          <w:headerReference r:id="rId18" w:type="even"/>
          <w:footerReference r:id="rId20" w:type="even"/>
          <w:pgSz w:w="11906" w:h="16838"/>
          <w:pgMar w:top="2410" w:right="1134" w:bottom="1134" w:left="1134" w:header="1418" w:footer="1134" w:gutter="284"/>
          <w:pgNumType w:fmt="upperRoman"/>
          <w:cols w:space="425" w:num="1"/>
          <w:formProt w:val="0"/>
          <w:docGrid w:linePitch="312" w:charSpace="0"/>
        </w:sectPr>
      </w:pP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FE6AF9988B424574BECC40D890C283F5"/>
        </w:placeholder>
      </w:sdtPr>
      <w:sdtContent>
        <w:p>
          <w:pPr>
            <w:pStyle w:val="179"/>
            <w:spacing w:before="240" w:beforeLines="100" w:after="528" w:afterLines="220"/>
          </w:pPr>
          <w:bookmarkStart w:id="27" w:name="NEW_STAND_NAME"/>
          <w:r>
            <w:rPr>
              <w:rFonts w:hint="eastAsia"/>
            </w:rPr>
            <w:t>铸造企业制造执行系统</w:t>
          </w:r>
          <w:r>
            <w:t xml:space="preserve"> 数据接口要求</w:t>
          </w:r>
        </w:p>
      </w:sdtContent>
    </w:sdt>
    <w:bookmarkEnd w:id="27"/>
    <w:p>
      <w:pPr>
        <w:pStyle w:val="106"/>
        <w:spacing w:before="240" w:after="240"/>
      </w:pPr>
      <w:bookmarkStart w:id="28" w:name="_Toc24884218"/>
      <w:bookmarkStart w:id="29" w:name="_Toc26648465"/>
      <w:bookmarkStart w:id="30" w:name="_Toc26986530"/>
      <w:bookmarkStart w:id="31" w:name="_Toc101961676"/>
      <w:bookmarkStart w:id="32" w:name="_Toc17233325"/>
      <w:bookmarkStart w:id="33" w:name="_Toc26718930"/>
      <w:bookmarkStart w:id="34" w:name="_Toc26986771"/>
      <w:bookmarkStart w:id="35" w:name="_Toc17233333"/>
      <w:bookmarkStart w:id="36" w:name="_Toc135229412"/>
      <w:bookmarkStart w:id="37" w:name="_Toc24884211"/>
      <w:r>
        <w:rPr>
          <w:rFonts w:hint="eastAsia"/>
        </w:rPr>
        <w:t>范围</w:t>
      </w:r>
      <w:bookmarkEnd w:id="28"/>
      <w:bookmarkEnd w:id="29"/>
      <w:bookmarkEnd w:id="30"/>
      <w:bookmarkEnd w:id="31"/>
      <w:bookmarkEnd w:id="32"/>
      <w:bookmarkEnd w:id="33"/>
      <w:bookmarkEnd w:id="34"/>
      <w:bookmarkEnd w:id="35"/>
      <w:bookmarkEnd w:id="36"/>
      <w:bookmarkEnd w:id="37"/>
    </w:p>
    <w:p>
      <w:pPr>
        <w:pStyle w:val="58"/>
        <w:ind w:firstLine="420"/>
      </w:pPr>
      <w:bookmarkStart w:id="38" w:name="_Toc26648466"/>
      <w:bookmarkStart w:id="39" w:name="_Toc17233326"/>
      <w:bookmarkStart w:id="40" w:name="_Toc24884212"/>
      <w:bookmarkStart w:id="41" w:name="_Toc17233334"/>
      <w:bookmarkStart w:id="42" w:name="_Toc24884219"/>
      <w:r>
        <w:rPr>
          <w:rFonts w:hint="eastAsia"/>
        </w:rPr>
        <w:t>本文件规定了铸造企业制造执行系统与业务管理系统的接口信息类型和接口信息交换要求。</w:t>
      </w:r>
    </w:p>
    <w:p>
      <w:pPr>
        <w:pStyle w:val="58"/>
        <w:ind w:firstLine="420"/>
      </w:pPr>
      <w:r>
        <w:rPr>
          <w:rFonts w:hint="eastAsia"/>
        </w:rPr>
        <w:t>本文件适用于铸造企业制造执行系统软件的开发、咨询与实施。</w:t>
      </w:r>
    </w:p>
    <w:p>
      <w:pPr>
        <w:pStyle w:val="106"/>
        <w:spacing w:before="240" w:after="240"/>
      </w:pPr>
      <w:bookmarkStart w:id="43" w:name="_Toc26986772"/>
      <w:bookmarkStart w:id="44" w:name="_Toc26986531"/>
      <w:bookmarkStart w:id="45" w:name="_Toc135229413"/>
      <w:bookmarkStart w:id="46" w:name="_Toc101961677"/>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EC078EDBDCE42F5B7581585807708C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pPr>
      <w:bookmarkStart w:id="48" w:name="_Toc101961678"/>
      <w:bookmarkStart w:id="49" w:name="_Toc135229414"/>
      <w:r>
        <w:rPr>
          <w:rFonts w:hint="eastAsia"/>
        </w:rPr>
        <w:t>GB/T 18725</w:t>
      </w:r>
      <w:r>
        <w:t xml:space="preserve">  </w:t>
      </w:r>
      <w:r>
        <w:rPr>
          <w:rFonts w:hint="eastAsia"/>
        </w:rPr>
        <w:t>制造业信息化 技术术语</w:t>
      </w:r>
    </w:p>
    <w:p>
      <w:pPr>
        <w:pStyle w:val="58"/>
        <w:ind w:firstLine="420"/>
      </w:pPr>
      <w:r>
        <w:t xml:space="preserve">GB/T 19659.1  </w:t>
      </w:r>
      <w:r>
        <w:rPr>
          <w:rFonts w:hint="eastAsia"/>
        </w:rPr>
        <w:t>工业自动化系统与集成 开放系统应用集成框架 第1部分:通用的参考描述</w:t>
      </w:r>
    </w:p>
    <w:p>
      <w:pPr>
        <w:pStyle w:val="58"/>
        <w:ind w:firstLine="420"/>
      </w:pPr>
      <w:r>
        <w:rPr>
          <w:rFonts w:hint="eastAsia"/>
        </w:rPr>
        <w:t>GB/T 20720.1</w:t>
      </w:r>
      <w:r>
        <w:t xml:space="preserve">  </w:t>
      </w:r>
      <w:r>
        <w:rPr>
          <w:rFonts w:hint="eastAsia"/>
        </w:rPr>
        <w:t>企业控制系统集成 第1部分：模型和术语</w:t>
      </w:r>
    </w:p>
    <w:p>
      <w:pPr>
        <w:pStyle w:val="58"/>
        <w:ind w:firstLine="420"/>
      </w:pPr>
      <w:r>
        <w:rPr>
          <w:rFonts w:hint="eastAsia"/>
        </w:rPr>
        <w:t>SJ/T 11666.1</w:t>
      </w:r>
      <w:r>
        <w:t xml:space="preserve">  </w:t>
      </w:r>
      <w:r>
        <w:rPr>
          <w:rFonts w:hint="eastAsia"/>
        </w:rPr>
        <w:t>制造执行系统（M</w:t>
      </w:r>
      <w:r>
        <w:t>ES</w:t>
      </w:r>
      <w:r>
        <w:rPr>
          <w:rFonts w:hint="eastAsia"/>
        </w:rPr>
        <w:t xml:space="preserve">）规范 </w:t>
      </w:r>
      <w:r>
        <w:t xml:space="preserve"> </w:t>
      </w:r>
      <w:r>
        <w:rPr>
          <w:rFonts w:hint="eastAsia"/>
        </w:rPr>
        <w:t>第1部分：模型和术语</w:t>
      </w:r>
    </w:p>
    <w:p>
      <w:pPr>
        <w:pStyle w:val="106"/>
        <w:spacing w:before="240" w:after="240"/>
      </w:pPr>
      <w:r>
        <w:rPr>
          <w:rFonts w:hint="eastAsia"/>
        </w:rPr>
        <w:t>术语、定义</w:t>
      </w:r>
      <w:bookmarkEnd w:id="48"/>
      <w:r>
        <w:rPr>
          <w:rFonts w:hint="eastAsia"/>
        </w:rPr>
        <w:t>和缩略语</w:t>
      </w:r>
      <w:bookmarkEnd w:id="49"/>
    </w:p>
    <w:p>
      <w:pPr>
        <w:pStyle w:val="107"/>
        <w:spacing w:before="120" w:after="120"/>
        <w:rPr>
          <w:b w:val="0"/>
          <w:bCs w:val="0"/>
        </w:rPr>
      </w:pPr>
      <w:bookmarkStart w:id="50" w:name="_Toc135229415"/>
      <w:r>
        <w:rPr>
          <w:rFonts w:hint="eastAsia"/>
          <w:b w:val="0"/>
          <w:bCs w:val="0"/>
        </w:rPr>
        <w:t>术语和定义</w:t>
      </w:r>
      <w:bookmarkEnd w:id="50"/>
    </w:p>
    <w:sdt>
      <w:sdtPr>
        <w:rPr>
          <w:rFonts w:hint="eastAsia"/>
        </w:rPr>
        <w:id w:val="-1909835108"/>
        <w:placeholder>
          <w:docPart w:val="9CB15896D6ED493995F33BCA867487A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58"/>
            <w:ind w:firstLine="420"/>
          </w:pPr>
          <w:bookmarkStart w:id="51" w:name="_Toc26986532"/>
          <w:bookmarkEnd w:id="51"/>
          <w:r>
            <w:rPr>
              <w:rFonts w:hint="eastAsia"/>
            </w:rPr>
            <w:t>GB/T 18725、</w:t>
          </w:r>
          <w:r>
            <w:t>GB/T 19659.1</w:t>
          </w:r>
          <w:r>
            <w:rPr>
              <w:rFonts w:hint="eastAsia"/>
            </w:rPr>
            <w:t>、GB/T 20720.1和SJ/T 11666.1界定的以及下列术语和定义适用于本文件。</w:t>
          </w:r>
        </w:p>
      </w:sdtContent>
    </w:sdt>
    <w:p>
      <w:pPr>
        <w:pStyle w:val="226"/>
        <w:ind w:left="420" w:hanging="420" w:hangingChars="200"/>
        <w:rPr>
          <w:rFonts w:ascii="黑体" w:hAnsi="黑体" w:eastAsia="黑体"/>
        </w:rPr>
      </w:pPr>
      <w:bookmarkStart w:id="52" w:name="_Toc3690"/>
      <w:bookmarkStart w:id="53" w:name="_Toc7496"/>
      <w:r>
        <w:rPr>
          <w:rFonts w:ascii="黑体" w:hAnsi="黑体" w:eastAsia="黑体"/>
        </w:rPr>
        <w:br w:type="textWrapping"/>
      </w:r>
      <w:r>
        <w:rPr>
          <w:rFonts w:hint="eastAsia" w:ascii="黑体" w:hAnsi="黑体" w:eastAsia="黑体"/>
        </w:rPr>
        <w:t xml:space="preserve">主键 </w:t>
      </w:r>
      <w:r>
        <w:rPr>
          <w:rFonts w:ascii="Times New Roman" w:eastAsia="黑体"/>
        </w:rPr>
        <w:t>primary key</w:t>
      </w:r>
    </w:p>
    <w:bookmarkEnd w:id="52"/>
    <w:bookmarkEnd w:id="53"/>
    <w:p>
      <w:pPr>
        <w:pStyle w:val="58"/>
        <w:ind w:firstLine="420"/>
      </w:pPr>
      <w:r>
        <w:rPr>
          <w:rFonts w:hint="eastAsia"/>
        </w:rPr>
        <w:t>在接口传输信息或数据库记录信息中被挑选出来，做信息唯一标识的关键字。</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字段 </w:t>
      </w:r>
      <w:r>
        <w:rPr>
          <w:rFonts w:hint="eastAsia" w:ascii="Times New Roman" w:eastAsia="黑体"/>
        </w:rPr>
        <w:t>field</w:t>
      </w:r>
    </w:p>
    <w:p>
      <w:pPr>
        <w:pStyle w:val="58"/>
        <w:ind w:firstLine="420"/>
      </w:pPr>
      <w:r>
        <w:rPr>
          <w:rFonts w:hint="eastAsia"/>
        </w:rPr>
        <w:t>一种表示与对象或类型(类与结构体)关联的变量。</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应用程序接口 </w:t>
      </w:r>
      <w:r>
        <w:rPr>
          <w:rFonts w:ascii="Times New Roman" w:eastAsia="黑体"/>
        </w:rPr>
        <w:t>A</w:t>
      </w:r>
      <w:r>
        <w:rPr>
          <w:rFonts w:hint="eastAsia" w:ascii="Times New Roman" w:eastAsia="黑体"/>
        </w:rPr>
        <w:t xml:space="preserve">pplication </w:t>
      </w:r>
      <w:r>
        <w:rPr>
          <w:rFonts w:ascii="Times New Roman" w:eastAsia="黑体"/>
        </w:rPr>
        <w:t>P</w:t>
      </w:r>
      <w:r>
        <w:rPr>
          <w:rFonts w:hint="eastAsia" w:ascii="Times New Roman" w:eastAsia="黑体"/>
        </w:rPr>
        <w:t xml:space="preserve">rogram </w:t>
      </w:r>
      <w:r>
        <w:rPr>
          <w:rFonts w:ascii="Times New Roman" w:eastAsia="黑体"/>
        </w:rPr>
        <w:t>I</w:t>
      </w:r>
      <w:r>
        <w:rPr>
          <w:rFonts w:hint="eastAsia" w:ascii="Times New Roman" w:eastAsia="黑体"/>
        </w:rPr>
        <w:t>nterface</w:t>
      </w:r>
      <w:r>
        <w:rPr>
          <w:rFonts w:ascii="Times New Roman" w:eastAsia="黑体"/>
        </w:rPr>
        <w:t>(API)</w:t>
      </w:r>
    </w:p>
    <w:p>
      <w:pPr>
        <w:pStyle w:val="58"/>
        <w:ind w:firstLine="420"/>
      </w:pPr>
      <w:r>
        <w:rPr>
          <w:rFonts w:hint="eastAsia"/>
        </w:rPr>
        <w:t>应用软件与应用平台之间的接口，提供跨接的所有服务。</w:t>
      </w:r>
    </w:p>
    <w:p>
      <w:pPr>
        <w:pStyle w:val="58"/>
        <w:ind w:firstLine="420"/>
        <w:rPr>
          <w:rFonts w:ascii="宋体"/>
        </w:rPr>
      </w:pPr>
      <w:r>
        <w:rPr>
          <w:rFonts w:hint="eastAsia"/>
        </w:rPr>
        <w:t>[来源：</w:t>
      </w:r>
      <w:r>
        <w:rPr>
          <w:rFonts w:hint="eastAsia" w:ascii="宋体"/>
        </w:rPr>
        <w:t>GB/T 1</w:t>
      </w:r>
      <w:r>
        <w:rPr>
          <w:rFonts w:ascii="宋体"/>
        </w:rPr>
        <w:t>8725</w:t>
      </w:r>
      <w:r>
        <w:rPr>
          <w:rFonts w:hint="eastAsia" w:ascii="宋体"/>
        </w:rPr>
        <w:t>-200</w:t>
      </w:r>
      <w:r>
        <w:rPr>
          <w:rFonts w:ascii="宋体"/>
        </w:rPr>
        <w:t>8,3.24</w:t>
      </w:r>
      <w:r>
        <w:rPr>
          <w:rFonts w:hint="eastAsia"/>
        </w:rPr>
        <w:t>]</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应用集成 </w:t>
      </w:r>
      <w:r>
        <w:rPr>
          <w:rFonts w:hint="eastAsia" w:ascii="Times New Roman" w:eastAsia="黑体"/>
        </w:rPr>
        <w:t>application integration</w:t>
      </w:r>
    </w:p>
    <w:p>
      <w:pPr>
        <w:pStyle w:val="58"/>
        <w:ind w:firstLine="420"/>
      </w:pPr>
      <w:r>
        <w:rPr>
          <w:rFonts w:hint="eastAsia"/>
        </w:rPr>
        <w:t>一种由分立的应用实现分立的功能，但在各应用之间存在通信和数据传递的状态。</w:t>
      </w:r>
    </w:p>
    <w:p>
      <w:pPr>
        <w:pStyle w:val="181"/>
      </w:pPr>
      <w:r>
        <w:rPr>
          <w:rFonts w:hint="eastAsia"/>
        </w:rPr>
        <w:t>这种应用组合，具有增添、修改和删除各种处理功能等柔性而不引起对合系统的破坏。</w:t>
      </w:r>
    </w:p>
    <w:p>
      <w:pPr>
        <w:pStyle w:val="58"/>
        <w:ind w:firstLine="420"/>
        <w:rPr>
          <w:rFonts w:ascii="宋体"/>
        </w:rPr>
      </w:pPr>
      <w:r>
        <w:rPr>
          <w:rFonts w:hint="eastAsia"/>
        </w:rPr>
        <w:t>[来源：</w:t>
      </w:r>
      <w:r>
        <w:rPr>
          <w:rFonts w:hint="eastAsia" w:ascii="宋体"/>
        </w:rPr>
        <w:t>GB/T 18725-2008</w:t>
      </w:r>
      <w:r>
        <w:rPr>
          <w:rFonts w:ascii="宋体"/>
        </w:rPr>
        <w:t>,3.19</w:t>
      </w:r>
      <w:r>
        <w:rPr>
          <w:rFonts w:hint="eastAsia" w:ascii="宋体"/>
        </w:rPr>
        <w:t>，有修改</w:t>
      </w:r>
      <w:r>
        <w:rPr>
          <w:rFonts w:hint="eastAsia"/>
        </w:rPr>
        <w:t>]</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反写/推送 </w:t>
      </w:r>
      <w:r>
        <w:rPr>
          <w:rFonts w:hint="eastAsia" w:ascii="Times New Roman" w:eastAsia="黑体"/>
        </w:rPr>
        <w:t>reverse writing/push</w:t>
      </w:r>
    </w:p>
    <w:p>
      <w:pPr>
        <w:pStyle w:val="58"/>
        <w:ind w:firstLine="420"/>
      </w:pPr>
      <w:r>
        <w:rPr>
          <w:rFonts w:hint="eastAsia"/>
        </w:rPr>
        <w:t>将需传递信息通过接口传输写入指定的地址数据表。</w:t>
      </w:r>
    </w:p>
    <w:p>
      <w:pPr>
        <w:pStyle w:val="226"/>
        <w:ind w:left="420" w:hanging="420" w:hangingChars="200"/>
        <w:rPr>
          <w:rFonts w:ascii="黑体" w:hAnsi="黑体" w:eastAsia="黑体"/>
        </w:rPr>
      </w:pPr>
    </w:p>
    <w:p>
      <w:pPr>
        <w:pStyle w:val="226"/>
        <w:numPr>
          <w:ilvl w:val="0"/>
          <w:numId w:val="0"/>
        </w:numPr>
        <w:ind w:left="420"/>
        <w:rPr>
          <w:rFonts w:ascii="黑体" w:hAnsi="黑体" w:eastAsia="黑体"/>
        </w:rPr>
      </w:pPr>
      <w:r>
        <w:rPr>
          <w:rFonts w:hint="eastAsia" w:ascii="黑体" w:hAnsi="黑体" w:eastAsia="黑体"/>
        </w:rPr>
        <w:t xml:space="preserve">业务管理系统 </w:t>
      </w:r>
      <w:r>
        <w:rPr>
          <w:rFonts w:hint="eastAsia" w:ascii="Times New Roman" w:eastAsia="黑体"/>
        </w:rPr>
        <w:t>business management system</w:t>
      </w:r>
    </w:p>
    <w:p>
      <w:pPr>
        <w:pStyle w:val="58"/>
        <w:ind w:firstLine="420"/>
        <w:rPr>
          <w:rFonts w:ascii="宋体"/>
        </w:rPr>
      </w:pPr>
      <w:r>
        <w:rPr>
          <w:rFonts w:hint="eastAsia"/>
        </w:rPr>
        <w:t>除MES之外的其他生产管理相关系统</w:t>
      </w:r>
      <w:r>
        <w:rPr>
          <w:rFonts w:hint="eastAsia" w:ascii="宋体"/>
        </w:rPr>
        <w:t>。</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消息 </w:t>
      </w:r>
      <w:r>
        <w:rPr>
          <w:rFonts w:hint="eastAsia" w:ascii="Times New Roman" w:eastAsia="黑体"/>
        </w:rPr>
        <w:t>message</w:t>
      </w:r>
    </w:p>
    <w:p>
      <w:pPr>
        <w:pStyle w:val="58"/>
        <w:ind w:firstLine="420"/>
      </w:pPr>
      <w:r>
        <w:rPr>
          <w:rFonts w:hint="eastAsia"/>
        </w:rPr>
        <w:t>应用系统间单向传送的结构化数据包。</w:t>
      </w:r>
    </w:p>
    <w:p>
      <w:pPr>
        <w:pStyle w:val="181"/>
        <w:numPr>
          <w:ilvl w:val="0"/>
          <w:numId w:val="0"/>
        </w:numPr>
        <w:ind w:left="363" w:leftChars="0"/>
      </w:pPr>
      <w:r>
        <w:rPr>
          <w:rFonts w:hint="eastAsia" w:ascii="黑体" w:hAnsi="黑体" w:eastAsia="黑体" w:cs="黑体"/>
          <w:lang w:val="en-US" w:eastAsia="zh-CN"/>
        </w:rPr>
        <w:t>注：</w:t>
      </w:r>
      <w:r>
        <w:rPr>
          <w:rFonts w:hint="eastAsia"/>
        </w:rPr>
        <w:t>一般由消息头、消息体(数据块) 组成。</w:t>
      </w:r>
    </w:p>
    <w:p>
      <w:pPr>
        <w:pStyle w:val="107"/>
        <w:spacing w:before="120" w:after="120"/>
      </w:pPr>
      <w:bookmarkStart w:id="54" w:name="_Toc135229416"/>
      <w:r>
        <w:rPr>
          <w:rFonts w:hint="eastAsia"/>
        </w:rPr>
        <w:t>缩略语</w:t>
      </w:r>
      <w:bookmarkEnd w:id="54"/>
    </w:p>
    <w:p>
      <w:pPr>
        <w:pStyle w:val="58"/>
        <w:ind w:firstLine="420"/>
      </w:pPr>
      <w:r>
        <w:rPr>
          <w:rFonts w:hint="eastAsia"/>
        </w:rPr>
        <w:t>下列缩略语适用于本文件。</w:t>
      </w:r>
    </w:p>
    <w:p>
      <w:pPr>
        <w:pStyle w:val="58"/>
        <w:ind w:firstLine="420"/>
      </w:pPr>
      <w:r>
        <w:t>BOM:</w:t>
      </w:r>
      <w:r>
        <w:rPr>
          <w:rFonts w:hint="eastAsia"/>
        </w:rPr>
        <w:t>物料清单（</w:t>
      </w:r>
      <w:r>
        <w:t xml:space="preserve">Bill </w:t>
      </w:r>
      <w:r>
        <w:rPr>
          <w:rFonts w:hint="eastAsia"/>
        </w:rPr>
        <w:t>Of</w:t>
      </w:r>
      <w:r>
        <w:t xml:space="preserve"> </w:t>
      </w:r>
      <w:r>
        <w:rPr>
          <w:rFonts w:hint="eastAsia"/>
        </w:rPr>
        <w:t>M</w:t>
      </w:r>
      <w:r>
        <w:t>aterials</w:t>
      </w:r>
      <w:r>
        <w:rPr>
          <w:rFonts w:hint="eastAsia"/>
        </w:rPr>
        <w:t>）</w:t>
      </w:r>
    </w:p>
    <w:p>
      <w:pPr>
        <w:pStyle w:val="58"/>
        <w:ind w:firstLine="420"/>
      </w:pPr>
      <w:r>
        <w:t>ERP:</w:t>
      </w:r>
      <w:r>
        <w:rPr>
          <w:rFonts w:hint="eastAsia"/>
        </w:rPr>
        <w:t>企业资源计划（</w:t>
      </w:r>
      <w:r>
        <w:t>Enterprise Resource</w:t>
      </w:r>
      <w:r>
        <w:rPr>
          <w:rFonts w:hint="eastAsia"/>
        </w:rPr>
        <w:t>s</w:t>
      </w:r>
      <w:r>
        <w:t xml:space="preserve"> </w:t>
      </w:r>
      <w:r>
        <w:rPr>
          <w:rFonts w:hint="eastAsia"/>
        </w:rPr>
        <w:t>P</w:t>
      </w:r>
      <w:r>
        <w:t>lanning</w:t>
      </w:r>
      <w:r>
        <w:rPr>
          <w:rFonts w:hint="eastAsia"/>
        </w:rPr>
        <w:t>）</w:t>
      </w:r>
    </w:p>
    <w:p>
      <w:pPr>
        <w:pStyle w:val="58"/>
        <w:ind w:firstLine="420"/>
      </w:pPr>
      <w:r>
        <w:rPr>
          <w:rFonts w:hint="eastAsia"/>
        </w:rPr>
        <w:t>PDM:产品数据管理（Product Data Management）</w:t>
      </w:r>
    </w:p>
    <w:p>
      <w:pPr>
        <w:pStyle w:val="58"/>
        <w:ind w:firstLine="420"/>
      </w:pPr>
      <w:r>
        <w:rPr>
          <w:rFonts w:hint="eastAsia"/>
        </w:rPr>
        <w:t>PLM:产品生命周期管理（Product Lifescycle Management）</w:t>
      </w:r>
    </w:p>
    <w:p>
      <w:pPr>
        <w:pStyle w:val="58"/>
        <w:ind w:firstLine="420"/>
      </w:pPr>
      <w:r>
        <w:t>LIMS:</w:t>
      </w:r>
      <w:r>
        <w:rPr>
          <w:rFonts w:hint="eastAsia"/>
        </w:rPr>
        <w:t>实验室信息管理系统（</w:t>
      </w:r>
      <w:r>
        <w:t xml:space="preserve">Laboratory </w:t>
      </w:r>
      <w:r>
        <w:rPr>
          <w:rFonts w:hint="eastAsia"/>
        </w:rPr>
        <w:t>I</w:t>
      </w:r>
      <w:r>
        <w:t xml:space="preserve">nformation </w:t>
      </w:r>
      <w:r>
        <w:rPr>
          <w:rFonts w:hint="eastAsia"/>
        </w:rPr>
        <w:t>M</w:t>
      </w:r>
      <w:r>
        <w:t xml:space="preserve">anagement </w:t>
      </w:r>
      <w:r>
        <w:rPr>
          <w:rFonts w:hint="eastAsia"/>
        </w:rPr>
        <w:t>S</w:t>
      </w:r>
      <w:r>
        <w:t>ystem</w:t>
      </w:r>
      <w:r>
        <w:rPr>
          <w:rFonts w:hint="eastAsia"/>
        </w:rPr>
        <w:t>）</w:t>
      </w:r>
    </w:p>
    <w:p>
      <w:pPr>
        <w:pStyle w:val="58"/>
        <w:ind w:firstLine="420"/>
      </w:pPr>
      <w:r>
        <w:t>MES:</w:t>
      </w:r>
      <w:r>
        <w:rPr>
          <w:rFonts w:hint="eastAsia"/>
        </w:rPr>
        <w:t>制造执行系统（Manufacturing Execution System）</w:t>
      </w:r>
    </w:p>
    <w:p>
      <w:pPr>
        <w:pStyle w:val="58"/>
        <w:ind w:firstLine="420"/>
      </w:pPr>
      <w:r>
        <w:t>WMS:</w:t>
      </w:r>
      <w:r>
        <w:rPr>
          <w:rFonts w:hint="eastAsia"/>
        </w:rPr>
        <w:t>仓储管理系统（</w:t>
      </w:r>
      <w:r>
        <w:t xml:space="preserve">Warehouse </w:t>
      </w:r>
      <w:r>
        <w:rPr>
          <w:rFonts w:hint="eastAsia"/>
        </w:rPr>
        <w:t>M</w:t>
      </w:r>
      <w:r>
        <w:t xml:space="preserve">anagement </w:t>
      </w:r>
      <w:r>
        <w:rPr>
          <w:rFonts w:hint="eastAsia"/>
        </w:rPr>
        <w:t>S</w:t>
      </w:r>
      <w:r>
        <w:t>ystem</w:t>
      </w:r>
      <w:r>
        <w:rPr>
          <w:rFonts w:hint="eastAsia"/>
        </w:rPr>
        <w:t>）</w:t>
      </w:r>
    </w:p>
    <w:p>
      <w:pPr>
        <w:pStyle w:val="58"/>
        <w:ind w:firstLine="420"/>
      </w:pPr>
      <w:r>
        <w:rPr>
          <w:rFonts w:hint="eastAsia"/>
        </w:rPr>
        <w:t>SDR</w:t>
      </w:r>
      <w:r>
        <w:t>:</w:t>
      </w:r>
      <w:r>
        <w:rPr>
          <w:rFonts w:hint="eastAsia"/>
        </w:rPr>
        <w:t>供应商偏差申请（Supplier Deviation Request）</w:t>
      </w:r>
    </w:p>
    <w:p>
      <w:pPr>
        <w:pStyle w:val="106"/>
        <w:spacing w:before="240" w:after="240"/>
        <w:rPr>
          <w:kern w:val="2"/>
        </w:rPr>
      </w:pPr>
      <w:bookmarkStart w:id="55" w:name="_Toc14569"/>
      <w:bookmarkStart w:id="56" w:name="_Toc135229417"/>
      <w:r>
        <w:rPr>
          <w:rFonts w:hint="eastAsia"/>
          <w:lang w:bidi="ar"/>
        </w:rPr>
        <w:t>MES与</w:t>
      </w:r>
      <w:r>
        <w:rPr>
          <w:rFonts w:hint="eastAsia"/>
          <w:kern w:val="2"/>
        </w:rPr>
        <w:t>业务</w:t>
      </w:r>
      <w:r>
        <w:rPr>
          <w:rFonts w:hint="eastAsia"/>
          <w:lang w:bidi="ar"/>
        </w:rPr>
        <w:t>管理系统的接口</w:t>
      </w:r>
      <w:bookmarkEnd w:id="55"/>
      <w:r>
        <w:rPr>
          <w:rFonts w:hint="eastAsia"/>
          <w:lang w:bidi="ar"/>
        </w:rPr>
        <w:t>信息类型</w:t>
      </w:r>
      <w:bookmarkEnd w:id="56"/>
    </w:p>
    <w:p>
      <w:pPr>
        <w:pStyle w:val="107"/>
        <w:spacing w:before="120" w:after="120"/>
      </w:pPr>
      <w:bookmarkStart w:id="57" w:name="_Toc9844"/>
      <w:bookmarkStart w:id="58" w:name="_Toc135229418"/>
      <w:r>
        <w:rPr>
          <w:rFonts w:hint="eastAsia"/>
        </w:rPr>
        <w:t>概述</w:t>
      </w:r>
      <w:bookmarkEnd w:id="57"/>
      <w:bookmarkEnd w:id="58"/>
    </w:p>
    <w:p>
      <w:pPr>
        <w:pStyle w:val="167"/>
      </w:pPr>
      <w:r>
        <w:rPr>
          <w:rFonts w:hint="eastAsia"/>
          <w:lang w:bidi="ar"/>
        </w:rPr>
        <w:t>铸造企业制造执行系统（以下简称“M</w:t>
      </w:r>
      <w:r>
        <w:rPr>
          <w:lang w:bidi="ar"/>
        </w:rPr>
        <w:t>ES</w:t>
      </w:r>
      <w:r>
        <w:rPr>
          <w:rFonts w:hint="eastAsia"/>
          <w:lang w:bidi="ar"/>
        </w:rPr>
        <w:t>”）是面向</w:t>
      </w:r>
      <w:r>
        <w:rPr>
          <w:rFonts w:hint="eastAsia"/>
        </w:rPr>
        <w:t>铸造</w:t>
      </w:r>
      <w:r>
        <w:rPr>
          <w:rFonts w:hint="eastAsia"/>
          <w:lang w:bidi="ar"/>
        </w:rPr>
        <w:t>生产运行管理的系统，需与ERP、PDM/PLM、LIMS、WMS、生产单元等业务管理系统集成，实现不同系统之间的信息交换，系统接口关系见图1。</w:t>
      </w:r>
    </w:p>
    <w:p>
      <w:pPr>
        <w:pStyle w:val="167"/>
      </w:pPr>
      <w:bookmarkStart w:id="59" w:name="_Hlk132882411"/>
      <w:r>
        <w:rPr>
          <w:rFonts w:hint="eastAsia"/>
        </w:rPr>
        <w:t>MES与业务管理系统的接口信息类型包括基础数据管理类信息、生产运行管理信息、质量管理类信息、生产辅具管理类信息、设备管理类信息和仓储管理类信息</w:t>
      </w:r>
      <w:bookmarkEnd w:id="59"/>
      <w:r>
        <w:rPr>
          <w:rFonts w:hint="eastAsia"/>
        </w:rPr>
        <w:t>。</w:t>
      </w:r>
    </w:p>
    <w:p>
      <w:pPr>
        <w:pStyle w:val="167"/>
      </w:pPr>
      <w:bookmarkStart w:id="60" w:name="_Hlk132877319"/>
      <w:r>
        <w:rPr>
          <w:rFonts w:hint="eastAsia"/>
        </w:rPr>
        <w:t>MES与业务管理系统的接口信息类型具体内容见附录A。</w:t>
      </w:r>
      <w:bookmarkEnd w:id="60"/>
    </w:p>
    <w:p>
      <w:pPr>
        <w:pStyle w:val="167"/>
      </w:pPr>
      <w:r>
        <w:rPr>
          <w:rFonts w:hint="eastAsia"/>
        </w:rPr>
        <w:t>MES</w:t>
      </w:r>
      <w:bookmarkStart w:id="61" w:name="_Hlk132877331"/>
      <w:r>
        <w:rPr>
          <w:rFonts w:hint="eastAsia"/>
        </w:rPr>
        <w:t>与业务管理系统的接口信息交换具体内容见附录B。</w:t>
      </w:r>
      <w:bookmarkEnd w:id="61"/>
    </w:p>
    <w:p>
      <w:pPr>
        <w:spacing w:before="240" w:beforeLines="100" w:after="240" w:afterLines="100" w:line="240" w:lineRule="auto"/>
        <w:ind w:firstLine="420" w:firstLineChars="200"/>
        <w:jc w:val="center"/>
        <w:rPr>
          <w:rFonts w:ascii="宋体" w:hAnsi="宋体" w:cs="宋体"/>
        </w:rPr>
      </w:pPr>
      <w:r>
        <w:drawing>
          <wp:inline distT="0" distB="0" distL="114300" distR="114300">
            <wp:extent cx="3765550" cy="3260090"/>
            <wp:effectExtent l="0" t="0" r="13970" b="127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38"/>
                    <a:stretch>
                      <a:fillRect/>
                    </a:stretch>
                  </pic:blipFill>
                  <pic:spPr>
                    <a:xfrm>
                      <a:off x="0" y="0"/>
                      <a:ext cx="3765550" cy="3260090"/>
                    </a:xfrm>
                    <a:prstGeom prst="rect">
                      <a:avLst/>
                    </a:prstGeom>
                    <a:noFill/>
                    <a:ln>
                      <a:noFill/>
                    </a:ln>
                  </pic:spPr>
                </pic:pic>
              </a:graphicData>
            </a:graphic>
          </wp:inline>
        </w:drawing>
      </w:r>
    </w:p>
    <w:p>
      <w:pPr>
        <w:pStyle w:val="116"/>
        <w:spacing w:before="120" w:after="120"/>
      </w:pPr>
      <w:r>
        <w:rPr>
          <w:rFonts w:hint="eastAsia"/>
          <w:lang w:bidi="ar"/>
        </w:rPr>
        <w:t>MES与业务管理系统的接口关系</w:t>
      </w:r>
    </w:p>
    <w:p>
      <w:pPr>
        <w:pStyle w:val="107"/>
        <w:spacing w:before="120" w:after="120"/>
      </w:pPr>
      <w:bookmarkStart w:id="62" w:name="_Toc31981"/>
      <w:bookmarkStart w:id="63" w:name="_Toc135229419"/>
      <w:bookmarkStart w:id="64" w:name="OLE_LINK2"/>
      <w:r>
        <w:rPr>
          <w:rFonts w:hint="eastAsia"/>
          <w:lang w:bidi="ar"/>
        </w:rPr>
        <w:t>接口</w:t>
      </w:r>
      <w:bookmarkEnd w:id="62"/>
      <w:r>
        <w:rPr>
          <w:rFonts w:hint="eastAsia"/>
          <w:lang w:bidi="ar"/>
        </w:rPr>
        <w:t>信息类型</w:t>
      </w:r>
      <w:bookmarkEnd w:id="63"/>
    </w:p>
    <w:p>
      <w:pPr>
        <w:pStyle w:val="67"/>
        <w:spacing w:before="120" w:after="120"/>
      </w:pPr>
      <w:bookmarkStart w:id="65" w:name="_Toc26879"/>
      <w:bookmarkStart w:id="66" w:name="_Toc3086"/>
      <w:bookmarkStart w:id="67" w:name="_Toc31918"/>
      <w:bookmarkStart w:id="68" w:name="_Toc30019"/>
      <w:bookmarkStart w:id="69" w:name="_Toc12905"/>
      <w:bookmarkStart w:id="70" w:name="_Toc4316"/>
      <w:bookmarkStart w:id="71" w:name="_Toc135229420"/>
      <w:bookmarkStart w:id="72" w:name="_Toc31128"/>
      <w:r>
        <w:rPr>
          <w:rFonts w:hint="eastAsia"/>
          <w:lang w:bidi="ar"/>
        </w:rPr>
        <w:t>基础数据管理</w:t>
      </w:r>
      <w:bookmarkEnd w:id="65"/>
      <w:bookmarkEnd w:id="66"/>
      <w:bookmarkEnd w:id="67"/>
      <w:bookmarkEnd w:id="68"/>
      <w:bookmarkEnd w:id="69"/>
      <w:bookmarkEnd w:id="70"/>
      <w:r>
        <w:rPr>
          <w:rFonts w:hint="eastAsia"/>
          <w:lang w:bidi="ar"/>
        </w:rPr>
        <w:t>类</w:t>
      </w:r>
      <w:r>
        <w:rPr>
          <w:rFonts w:hint="eastAsia"/>
        </w:rPr>
        <w:t>接口</w:t>
      </w:r>
      <w:r>
        <w:rPr>
          <w:rFonts w:hint="eastAsia"/>
          <w:lang w:bidi="ar"/>
        </w:rPr>
        <w:t>信息</w:t>
      </w:r>
      <w:bookmarkEnd w:id="71"/>
      <w:bookmarkEnd w:id="72"/>
    </w:p>
    <w:p>
      <w:pPr>
        <w:pStyle w:val="166"/>
      </w:pPr>
      <w:r>
        <w:rPr>
          <w:rFonts w:hint="eastAsia"/>
        </w:rPr>
        <w:t>MES与</w:t>
      </w:r>
      <w:r>
        <w:rPr>
          <w:rFonts w:hint="eastAsia"/>
          <w:lang w:bidi="ar"/>
        </w:rPr>
        <w:t>业务管理系统</w:t>
      </w:r>
      <w:r>
        <w:rPr>
          <w:rFonts w:hint="eastAsia"/>
        </w:rPr>
        <w:t>的接口信息交换，需要一定的基础数据做支撑，用于MES内部数据处理，并将处理完成的数据推送相应对接系统，进行数据执行操作，基础数据包括分类信息、系统限制节点信息、组织机构等。</w:t>
      </w:r>
    </w:p>
    <w:p>
      <w:pPr>
        <w:pStyle w:val="166"/>
      </w:pPr>
      <w:r>
        <w:rPr>
          <w:rFonts w:hint="eastAsia"/>
        </w:rPr>
        <w:t>基础信息主要包括公司信息、部门信息、工作中心信息、班组能力信息、人员信息、班次信息、工厂日历、外协配置、炉容量信息、铸件号规则、产品批次、不合格信息、交货提前期、设备分类、结账期等。</w:t>
      </w:r>
    </w:p>
    <w:bookmarkEnd w:id="64"/>
    <w:p>
      <w:pPr>
        <w:pStyle w:val="67"/>
        <w:spacing w:before="120" w:after="120"/>
      </w:pPr>
      <w:bookmarkStart w:id="73" w:name="_Toc27022"/>
      <w:bookmarkStart w:id="74" w:name="_Toc11825"/>
      <w:bookmarkStart w:id="75" w:name="_Toc3733"/>
      <w:bookmarkStart w:id="76" w:name="_Toc5718"/>
      <w:bookmarkStart w:id="77" w:name="_Toc13095"/>
      <w:bookmarkStart w:id="78" w:name="_Toc14765"/>
      <w:bookmarkStart w:id="79" w:name="_Toc9458"/>
      <w:bookmarkStart w:id="80" w:name="_Toc135229421"/>
      <w:r>
        <w:rPr>
          <w:rFonts w:hint="eastAsia"/>
        </w:rPr>
        <w:t>生产运行管理</w:t>
      </w:r>
      <w:bookmarkEnd w:id="73"/>
      <w:bookmarkEnd w:id="74"/>
      <w:bookmarkEnd w:id="75"/>
      <w:bookmarkEnd w:id="76"/>
      <w:bookmarkEnd w:id="77"/>
      <w:bookmarkEnd w:id="78"/>
      <w:r>
        <w:rPr>
          <w:rFonts w:hint="eastAsia"/>
        </w:rPr>
        <w:t>类接口信息</w:t>
      </w:r>
      <w:bookmarkEnd w:id="79"/>
      <w:bookmarkEnd w:id="80"/>
    </w:p>
    <w:p>
      <w:pPr>
        <w:pStyle w:val="96"/>
        <w:spacing w:before="120" w:after="120"/>
      </w:pPr>
      <w:r>
        <w:rPr>
          <w:rFonts w:hint="eastAsia"/>
        </w:rPr>
        <w:t>概述</w:t>
      </w:r>
    </w:p>
    <w:p>
      <w:pPr>
        <w:pStyle w:val="58"/>
        <w:ind w:firstLine="420"/>
      </w:pPr>
      <w:r>
        <w:rPr>
          <w:rFonts w:hint="eastAsia"/>
        </w:rPr>
        <w:t>生产运行管理类信息用于订单生产全过程管控，包括产品主数据信息、工艺信息、计划信息、计划执行汇报信息等。</w:t>
      </w:r>
    </w:p>
    <w:p>
      <w:pPr>
        <w:pStyle w:val="96"/>
        <w:spacing w:before="120" w:after="120"/>
      </w:pPr>
      <w:r>
        <w:rPr>
          <w:rFonts w:hint="eastAsia"/>
          <w:lang w:bidi="ar"/>
        </w:rPr>
        <w:t>产品主数据信息</w:t>
      </w:r>
    </w:p>
    <w:p>
      <w:pPr>
        <w:pStyle w:val="58"/>
        <w:ind w:firstLine="420"/>
      </w:pPr>
      <w:r>
        <w:rPr>
          <w:rFonts w:hint="eastAsia"/>
        </w:rPr>
        <w:t>产品主数据信息包括产品基础信息、产品分类信息、标准工序信息等</w:t>
      </w:r>
      <w:r>
        <w:rPr>
          <w:rFonts w:hint="eastAsia"/>
          <w:lang w:bidi="ar"/>
        </w:rPr>
        <w:t>。</w:t>
      </w:r>
    </w:p>
    <w:p>
      <w:pPr>
        <w:pStyle w:val="96"/>
        <w:spacing w:before="120" w:after="120"/>
      </w:pPr>
      <w:r>
        <w:rPr>
          <w:rFonts w:hint="eastAsia"/>
          <w:lang w:bidi="ar"/>
        </w:rPr>
        <w:t>工艺信息</w:t>
      </w:r>
    </w:p>
    <w:p>
      <w:pPr>
        <w:pStyle w:val="58"/>
        <w:ind w:firstLine="420"/>
      </w:pPr>
      <w:r>
        <w:rPr>
          <w:rFonts w:hint="eastAsia"/>
        </w:rPr>
        <w:t>工艺信息用于MES排产增加限制条件、产品生产过程的操作指导等以保证产品质量，主要包括产品工艺路线信息、产品质量信息、产品尺寸信息、产品生产辅助信息等。</w:t>
      </w:r>
    </w:p>
    <w:p>
      <w:pPr>
        <w:pStyle w:val="96"/>
        <w:spacing w:before="120" w:after="120"/>
      </w:pPr>
      <w:r>
        <w:rPr>
          <w:rFonts w:hint="eastAsia"/>
          <w:lang w:bidi="ar"/>
        </w:rPr>
        <w:t>计划信息</w:t>
      </w:r>
    </w:p>
    <w:p>
      <w:pPr>
        <w:pStyle w:val="58"/>
        <w:ind w:firstLine="420"/>
      </w:pPr>
      <w:r>
        <w:rPr>
          <w:rFonts w:hint="eastAsia"/>
        </w:rPr>
        <w:t>计划信息包括生产主计划和发货计划等，生产主计划用于生产月、周、日计划的编排和生产执行过程数据信息记录载体，主要包括生产主计划信息、工艺路线、生产主计划变更信息、发货计划信息、发货计划变更信息、生产准备计划、设备及生产辅具（如：模具、砂箱、工装、刀具等）台账信息、备品备件台账信息等。</w:t>
      </w:r>
    </w:p>
    <w:p>
      <w:pPr>
        <w:pStyle w:val="96"/>
        <w:spacing w:before="120" w:after="120"/>
      </w:pPr>
      <w:r>
        <w:rPr>
          <w:rFonts w:hint="eastAsia"/>
          <w:lang w:bidi="ar"/>
        </w:rPr>
        <w:t>计划执行汇报信息</w:t>
      </w:r>
    </w:p>
    <w:p>
      <w:pPr>
        <w:pStyle w:val="58"/>
        <w:ind w:firstLine="420"/>
      </w:pPr>
      <w:r>
        <w:rPr>
          <w:rFonts w:hint="eastAsia"/>
        </w:rPr>
        <w:t>计划执行汇报为已发生事件，用于生产计划执行过程中关联数据当前完成信息或过去时间已完成结果的填报，主要包括工序开工汇报信息、工序完工汇报信息、工序不合格汇报信息、不合格整改返回信息、统计分析信息、生产工序反写上层系统信息、报废反写上层系统信息、原辅材料出库信息、毛坯入库信息、成品入库信息、毛坯发货信息、成品发货信息。</w:t>
      </w:r>
    </w:p>
    <w:p>
      <w:pPr>
        <w:pStyle w:val="96"/>
        <w:spacing w:before="120" w:after="120"/>
      </w:pPr>
      <w:r>
        <w:rPr>
          <w:rFonts w:hint="eastAsia"/>
          <w:lang w:bidi="ar"/>
        </w:rPr>
        <w:t xml:space="preserve">汇总展示信息 </w:t>
      </w:r>
    </w:p>
    <w:p>
      <w:pPr>
        <w:pStyle w:val="58"/>
        <w:ind w:firstLine="420"/>
      </w:pPr>
      <w:r>
        <w:rPr>
          <w:rFonts w:hint="eastAsia"/>
        </w:rPr>
        <w:t>MES将系统内数据按既定好的逻辑处理，用于信息汇总展示、数据统计、图表趋势分析等，为企业经营管理提供有效的数据支撑，主要包括生产主计划信息、生产工序汇报信息、工序质量信息、产品质量信息、质量整改信息、工序质量信息、产品质量信息、质量整改信息、销售主计划信息、销售交货信息。</w:t>
      </w:r>
    </w:p>
    <w:p>
      <w:pPr>
        <w:pStyle w:val="67"/>
        <w:spacing w:before="120" w:after="120"/>
      </w:pPr>
      <w:bookmarkStart w:id="81" w:name="_Toc24251"/>
      <w:bookmarkStart w:id="82" w:name="_Toc17073"/>
      <w:bookmarkStart w:id="83" w:name="_Toc135229422"/>
      <w:bookmarkStart w:id="84" w:name="_Toc15305"/>
      <w:bookmarkStart w:id="85" w:name="_Toc16887"/>
      <w:bookmarkStart w:id="86" w:name="_Toc16545"/>
      <w:bookmarkStart w:id="87" w:name="_Toc10863"/>
      <w:bookmarkStart w:id="88" w:name="_Toc27266"/>
      <w:r>
        <w:rPr>
          <w:rFonts w:hint="eastAsia"/>
          <w:lang w:bidi="ar"/>
        </w:rPr>
        <w:t>质量管理</w:t>
      </w:r>
      <w:bookmarkEnd w:id="81"/>
      <w:bookmarkEnd w:id="82"/>
      <w:r>
        <w:rPr>
          <w:rFonts w:hint="eastAsia"/>
          <w:lang w:bidi="ar"/>
        </w:rPr>
        <w:t>类</w:t>
      </w:r>
      <w:r>
        <w:rPr>
          <w:rFonts w:hint="eastAsia"/>
        </w:rPr>
        <w:t>接口</w:t>
      </w:r>
      <w:r>
        <w:rPr>
          <w:rFonts w:hint="eastAsia"/>
          <w:lang w:bidi="ar"/>
        </w:rPr>
        <w:t>信息</w:t>
      </w:r>
      <w:bookmarkEnd w:id="83"/>
      <w:bookmarkEnd w:id="84"/>
      <w:bookmarkEnd w:id="85"/>
      <w:bookmarkEnd w:id="86"/>
      <w:bookmarkEnd w:id="87"/>
      <w:bookmarkEnd w:id="88"/>
    </w:p>
    <w:p>
      <w:pPr>
        <w:pStyle w:val="96"/>
        <w:spacing w:before="120" w:after="120"/>
      </w:pPr>
      <w:r>
        <w:rPr>
          <w:rFonts w:hint="eastAsia"/>
          <w:lang w:bidi="ar"/>
        </w:rPr>
        <w:t>概述</w:t>
      </w:r>
    </w:p>
    <w:p>
      <w:pPr>
        <w:pStyle w:val="58"/>
        <w:ind w:firstLine="420"/>
      </w:pPr>
      <w:r>
        <w:rPr>
          <w:rFonts w:hint="eastAsia"/>
        </w:rPr>
        <w:t>质量管理类信息用于产品生产全周期质量管控，当产品不合格时，选择不合格类型及原因进行记录并推送审批，实现质量问题的跟踪、纠正和追溯。</w:t>
      </w:r>
    </w:p>
    <w:p>
      <w:pPr>
        <w:pStyle w:val="96"/>
        <w:spacing w:before="120" w:after="120"/>
      </w:pPr>
      <w:r>
        <w:rPr>
          <w:rFonts w:hint="eastAsia"/>
          <w:lang w:bidi="ar"/>
        </w:rPr>
        <w:t>不合格管理信息</w:t>
      </w:r>
    </w:p>
    <w:p>
      <w:pPr>
        <w:pStyle w:val="58"/>
        <w:ind w:firstLine="420"/>
      </w:pPr>
      <w:r>
        <w:rPr>
          <w:rFonts w:hint="eastAsia"/>
        </w:rPr>
        <w:t>MES中提前录入工序所对应的不合格类型及不合格原因，在产品质量存在问题需要审批的情况下进行选择提交，主要包括</w:t>
      </w:r>
      <w:r>
        <w:rPr>
          <w:rFonts w:hint="eastAsia" w:ascii="宋体"/>
          <w:lang w:bidi="ar"/>
        </w:rPr>
        <w:t>不合格类型信息、不合格原因信息。</w:t>
      </w:r>
    </w:p>
    <w:p>
      <w:pPr>
        <w:pStyle w:val="96"/>
        <w:spacing w:before="120" w:after="120"/>
      </w:pPr>
      <w:r>
        <w:rPr>
          <w:rFonts w:hint="eastAsia"/>
          <w:lang w:bidi="ar"/>
        </w:rPr>
        <w:t>质量审批信息</w:t>
      </w:r>
    </w:p>
    <w:p>
      <w:pPr>
        <w:pStyle w:val="58"/>
        <w:ind w:firstLine="420"/>
      </w:pPr>
      <w:r>
        <w:rPr>
          <w:rFonts w:hint="eastAsia"/>
        </w:rPr>
        <w:t>铸件生产过程中，当存在质量问题时，提交不合格类型及原因后，需对产品质量进行评判保证其品质，审批结论分为：合格、报废、返修、SDR等，主要包括</w:t>
      </w:r>
      <w:r>
        <w:rPr>
          <w:rFonts w:hint="eastAsia" w:ascii="宋体"/>
          <w:lang w:bidi="ar"/>
        </w:rPr>
        <w:t>质量审批任务信息、审批结论信息。</w:t>
      </w:r>
    </w:p>
    <w:p>
      <w:pPr>
        <w:pStyle w:val="96"/>
        <w:spacing w:before="120" w:after="120"/>
      </w:pPr>
      <w:r>
        <w:rPr>
          <w:rFonts w:hint="eastAsia"/>
          <w:lang w:bidi="ar"/>
        </w:rPr>
        <w:t>质量追溯、质量闭环及质量知识库信息</w:t>
      </w:r>
    </w:p>
    <w:p>
      <w:pPr>
        <w:pStyle w:val="58"/>
        <w:ind w:firstLine="420"/>
      </w:pPr>
      <w:r>
        <w:rPr>
          <w:rFonts w:hint="eastAsia"/>
        </w:rPr>
        <w:t>质量闭环包括预防措施和纠正措施，质量知识库主要用于预防同类问题的再次发生，会涉及到详细产品的详细信息、预防纠正措施并执行相应整改流程。主要包括</w:t>
      </w:r>
      <w:r>
        <w:rPr>
          <w:rFonts w:hint="eastAsia" w:ascii="宋体"/>
          <w:lang w:bidi="ar"/>
        </w:rPr>
        <w:t>质量追溯信息、质量闭环、质量知识库信息。</w:t>
      </w:r>
    </w:p>
    <w:p>
      <w:pPr>
        <w:pStyle w:val="96"/>
        <w:spacing w:before="120" w:after="120"/>
      </w:pPr>
      <w:r>
        <w:rPr>
          <w:rFonts w:hint="eastAsia"/>
          <w:lang w:bidi="ar"/>
        </w:rPr>
        <w:t>质量检验信息</w:t>
      </w:r>
    </w:p>
    <w:p>
      <w:pPr>
        <w:pStyle w:val="58"/>
        <w:ind w:firstLine="420"/>
      </w:pPr>
      <w:r>
        <w:rPr>
          <w:rFonts w:hint="eastAsia"/>
        </w:rPr>
        <w:t>为实现对产品复杂多样检测数据进行结构化划分，为后期的质量数据追溯和统计提供基础规范数据，通过数据接口的方式，实现与工艺设计系统集成。主要包括</w:t>
      </w:r>
      <w:r>
        <w:rPr>
          <w:rFonts w:hint="eastAsia" w:ascii="宋体"/>
          <w:lang w:bidi="ar"/>
        </w:rPr>
        <w:t>原辅材料检测信息、力学性能检测信息、无损检测信息、尺寸信息、本体硬度检测信息、原辅材料出库信息。</w:t>
      </w:r>
    </w:p>
    <w:p>
      <w:pPr>
        <w:pStyle w:val="67"/>
        <w:spacing w:before="120" w:after="120"/>
      </w:pPr>
      <w:bookmarkStart w:id="89" w:name="_Toc26774"/>
      <w:bookmarkStart w:id="90" w:name="_Toc16299"/>
      <w:bookmarkStart w:id="91" w:name="_Toc17142"/>
      <w:bookmarkStart w:id="92" w:name="_Toc268"/>
      <w:bookmarkStart w:id="93" w:name="_Toc18837"/>
      <w:bookmarkStart w:id="94" w:name="_Toc26804"/>
      <w:bookmarkStart w:id="95" w:name="_Toc135229423"/>
      <w:bookmarkStart w:id="96" w:name="_Toc28458"/>
      <w:r>
        <w:rPr>
          <w:rFonts w:hint="eastAsia"/>
          <w:lang w:bidi="ar"/>
        </w:rPr>
        <w:t>生产辅具管理</w:t>
      </w:r>
      <w:bookmarkEnd w:id="89"/>
      <w:bookmarkEnd w:id="90"/>
      <w:bookmarkEnd w:id="91"/>
      <w:bookmarkEnd w:id="92"/>
      <w:bookmarkEnd w:id="93"/>
      <w:bookmarkEnd w:id="94"/>
      <w:r>
        <w:rPr>
          <w:rFonts w:hint="eastAsia"/>
          <w:lang w:bidi="ar"/>
        </w:rPr>
        <w:t>类</w:t>
      </w:r>
      <w:r>
        <w:rPr>
          <w:rFonts w:hint="eastAsia"/>
        </w:rPr>
        <w:t>接口</w:t>
      </w:r>
      <w:r>
        <w:rPr>
          <w:rFonts w:hint="eastAsia"/>
          <w:lang w:bidi="ar"/>
        </w:rPr>
        <w:t>信息</w:t>
      </w:r>
      <w:bookmarkEnd w:id="95"/>
      <w:bookmarkEnd w:id="96"/>
    </w:p>
    <w:p>
      <w:pPr>
        <w:pStyle w:val="96"/>
        <w:spacing w:before="120" w:after="120"/>
      </w:pPr>
      <w:r>
        <w:rPr>
          <w:rFonts w:hint="eastAsia"/>
          <w:lang w:bidi="ar"/>
        </w:rPr>
        <w:t>概述</w:t>
      </w:r>
    </w:p>
    <w:p>
      <w:pPr>
        <w:pStyle w:val="58"/>
        <w:ind w:firstLine="420"/>
      </w:pPr>
      <w:r>
        <w:t>MES</w:t>
      </w:r>
      <w:r>
        <w:rPr>
          <w:rFonts w:hint="eastAsia"/>
        </w:rPr>
        <w:t>根据生产辅具与生产订单的关系，结合生产辅具的状态对排产进行限制，以及对生产辅具的保养、维修、报废等流程进行管控，通过与其他系统的集成方便流程的执行和数据的收集。生产辅具主要内容包括模具、砂箱、工装、刀具四种。</w:t>
      </w:r>
    </w:p>
    <w:p>
      <w:pPr>
        <w:pStyle w:val="96"/>
        <w:spacing w:before="120" w:after="120"/>
      </w:pPr>
      <w:r>
        <w:rPr>
          <w:rFonts w:hint="eastAsia"/>
          <w:lang w:bidi="ar"/>
        </w:rPr>
        <w:t>模具管理信息</w:t>
      </w:r>
    </w:p>
    <w:p>
      <w:pPr>
        <w:pStyle w:val="58"/>
        <w:ind w:firstLine="420"/>
      </w:pPr>
      <w:r>
        <w:rPr>
          <w:rFonts w:hint="eastAsia"/>
        </w:rPr>
        <w:t>模具管理信息用于指导生产计划编排。通过模具的使用和保养、维修、报废等流程详细记录信息流数据，增加模具使用寿命，主要包括</w:t>
      </w:r>
      <w:r>
        <w:rPr>
          <w:rFonts w:hint="eastAsia"/>
          <w:lang w:bidi="ar"/>
        </w:rPr>
        <w:t>模具台账信息、模具入库信息、模具出库信息、模具保养信息、模具保养反馈信息、模具维修信息、模具维修反馈信息、模具报废信息、模具报废评审信息。</w:t>
      </w:r>
    </w:p>
    <w:p>
      <w:pPr>
        <w:pStyle w:val="96"/>
        <w:spacing w:before="120" w:after="120"/>
      </w:pPr>
      <w:r>
        <w:rPr>
          <w:rFonts w:hint="eastAsia"/>
          <w:lang w:bidi="ar"/>
        </w:rPr>
        <w:t>砂箱管理信息</w:t>
      </w:r>
    </w:p>
    <w:p>
      <w:pPr>
        <w:pStyle w:val="58"/>
        <w:ind w:firstLine="420"/>
      </w:pPr>
      <w:r>
        <w:rPr>
          <w:rFonts w:hint="eastAsia"/>
        </w:rPr>
        <w:t>砂箱管理信息用于指导生产计划编排。通过砂箱的使用和保养、维修、报废等流程详细记录信息流数据，增加砂箱使用寿命，主要包括</w:t>
      </w:r>
      <w:r>
        <w:rPr>
          <w:rFonts w:hint="eastAsia"/>
          <w:lang w:bidi="ar"/>
        </w:rPr>
        <w:t>砂箱台账信息、砂箱入库信息、砂箱出库信息、砂箱保养信息、砂箱保养反馈信息、砂箱维修信息、砂箱维修反馈信息、砂箱报废信息、模具报废评审信息。</w:t>
      </w:r>
    </w:p>
    <w:p>
      <w:pPr>
        <w:pStyle w:val="96"/>
        <w:spacing w:before="120" w:after="120"/>
      </w:pPr>
      <w:r>
        <w:rPr>
          <w:rFonts w:hint="eastAsia"/>
          <w:lang w:bidi="ar"/>
        </w:rPr>
        <w:t>工装管理信息</w:t>
      </w:r>
    </w:p>
    <w:p>
      <w:pPr>
        <w:pStyle w:val="58"/>
        <w:ind w:firstLine="420"/>
      </w:pPr>
      <w:r>
        <w:rPr>
          <w:rFonts w:hint="eastAsia"/>
        </w:rPr>
        <w:t>工装管理信息用于指导生产计划编排。通过工装的使用和保养、维修、报废等流程详细记录信息流数据，增加工装使用寿命，主要包括</w:t>
      </w:r>
      <w:r>
        <w:rPr>
          <w:rFonts w:hint="eastAsia" w:ascii="宋体"/>
          <w:lang w:bidi="ar"/>
        </w:rPr>
        <w:t>工装台账信息、工装入库信息、工装出库信息、工装保养信息、工装保养反馈信息、工装维修信息、工装维修反馈信息、工装报废信息、工装报废评审信息。</w:t>
      </w:r>
    </w:p>
    <w:p>
      <w:pPr>
        <w:pStyle w:val="96"/>
        <w:spacing w:before="120" w:after="120"/>
      </w:pPr>
      <w:r>
        <w:rPr>
          <w:rFonts w:hint="eastAsia"/>
          <w:lang w:bidi="ar"/>
        </w:rPr>
        <w:t>刀具管理信息</w:t>
      </w:r>
    </w:p>
    <w:p>
      <w:pPr>
        <w:pStyle w:val="58"/>
        <w:ind w:firstLine="420"/>
      </w:pPr>
      <w:r>
        <w:rPr>
          <w:rFonts w:hint="eastAsia"/>
        </w:rPr>
        <w:t>刀具管理信息用于指导生产计划编排。通过刀具的使用和保养、维修、报废等流程详细记录信息流数据，增加刀具使用寿命，主要包括</w:t>
      </w:r>
      <w:r>
        <w:rPr>
          <w:rFonts w:hint="eastAsia"/>
          <w:lang w:bidi="ar"/>
        </w:rPr>
        <w:t>刀具台账信息、刀具入库信息、刀具出库信息、刀具保养信息、刀具保养反馈信息、刀具维修信息、刀具维修反馈信息、刀具报废信息、刀具报废评审信息。</w:t>
      </w:r>
    </w:p>
    <w:p>
      <w:pPr>
        <w:pStyle w:val="67"/>
        <w:spacing w:before="120" w:after="120"/>
      </w:pPr>
      <w:bookmarkStart w:id="97" w:name="_Toc8871"/>
      <w:bookmarkStart w:id="98" w:name="_Toc16677"/>
      <w:bookmarkStart w:id="99" w:name="_Toc11686"/>
      <w:bookmarkStart w:id="100" w:name="_Toc7770"/>
      <w:bookmarkStart w:id="101" w:name="_Toc18050"/>
      <w:bookmarkStart w:id="102" w:name="_Toc26577"/>
      <w:bookmarkStart w:id="103" w:name="_Toc135229424"/>
      <w:bookmarkStart w:id="104" w:name="_Toc7321"/>
      <w:r>
        <w:rPr>
          <w:rFonts w:hint="eastAsia"/>
          <w:lang w:bidi="ar"/>
        </w:rPr>
        <w:t>设备管理</w:t>
      </w:r>
      <w:bookmarkEnd w:id="97"/>
      <w:bookmarkEnd w:id="98"/>
      <w:bookmarkEnd w:id="99"/>
      <w:bookmarkEnd w:id="100"/>
      <w:bookmarkEnd w:id="101"/>
      <w:bookmarkEnd w:id="102"/>
      <w:r>
        <w:rPr>
          <w:rFonts w:hint="eastAsia"/>
          <w:lang w:bidi="ar"/>
        </w:rPr>
        <w:t>类</w:t>
      </w:r>
      <w:r>
        <w:rPr>
          <w:rFonts w:hint="eastAsia"/>
        </w:rPr>
        <w:t>接口</w:t>
      </w:r>
      <w:r>
        <w:rPr>
          <w:rFonts w:hint="eastAsia"/>
          <w:lang w:bidi="ar"/>
        </w:rPr>
        <w:t>信息</w:t>
      </w:r>
      <w:bookmarkEnd w:id="103"/>
      <w:bookmarkEnd w:id="104"/>
    </w:p>
    <w:p>
      <w:pPr>
        <w:pStyle w:val="96"/>
        <w:spacing w:before="120" w:after="120"/>
      </w:pPr>
      <w:r>
        <w:rPr>
          <w:rFonts w:hint="eastAsia"/>
          <w:lang w:bidi="ar"/>
        </w:rPr>
        <w:t>概述</w:t>
      </w:r>
    </w:p>
    <w:p>
      <w:pPr>
        <w:pStyle w:val="58"/>
        <w:ind w:firstLine="420"/>
      </w:pPr>
      <w:r>
        <w:rPr>
          <w:rFonts w:hint="eastAsia"/>
        </w:rPr>
        <w:t>设备管理类信息用于对现有设备及使用分布状态等情况进行管理，登记及展示。设备管理类信息包括设备主数据信息、设备入场检验信息、设备维修信息、设备保养信息等。</w:t>
      </w:r>
    </w:p>
    <w:p>
      <w:pPr>
        <w:pStyle w:val="96"/>
        <w:spacing w:before="120" w:after="120"/>
      </w:pPr>
      <w:r>
        <w:rPr>
          <w:rFonts w:hint="eastAsia"/>
          <w:lang w:bidi="ar"/>
        </w:rPr>
        <w:t>设备主数据信息</w:t>
      </w:r>
    </w:p>
    <w:p>
      <w:pPr>
        <w:pStyle w:val="58"/>
        <w:ind w:firstLine="420"/>
      </w:pPr>
      <w:r>
        <w:rPr>
          <w:rFonts w:hint="eastAsia"/>
        </w:rPr>
        <w:t>MES中设备管理实现对生产设备的基础信息新增、维护以及查看的管理，主要包括</w:t>
      </w:r>
      <w:r>
        <w:rPr>
          <w:rFonts w:hint="eastAsia" w:ascii="宋体"/>
          <w:lang w:bidi="ar"/>
        </w:rPr>
        <w:t>设备主数据信息、设备分类信息、设备类别信息。</w:t>
      </w:r>
    </w:p>
    <w:p>
      <w:pPr>
        <w:pStyle w:val="96"/>
        <w:spacing w:before="120" w:after="120"/>
      </w:pPr>
      <w:r>
        <w:rPr>
          <w:rFonts w:hint="eastAsia"/>
          <w:lang w:bidi="ar"/>
        </w:rPr>
        <w:t>设备入场检验信息</w:t>
      </w:r>
    </w:p>
    <w:p>
      <w:pPr>
        <w:pStyle w:val="58"/>
        <w:ind w:firstLine="420"/>
      </w:pPr>
      <w:r>
        <w:rPr>
          <w:rFonts w:hint="eastAsia"/>
        </w:rPr>
        <w:t>MES中部分设备在投入使用前需要进行检验工作，用于记录设备初始状态，主要包括</w:t>
      </w:r>
      <w:r>
        <w:rPr>
          <w:rFonts w:hint="eastAsia" w:ascii="宋体"/>
          <w:lang w:bidi="ar"/>
        </w:rPr>
        <w:t>设备检验信息、设备管理信息、设备分类信息。</w:t>
      </w:r>
    </w:p>
    <w:p>
      <w:pPr>
        <w:pStyle w:val="96"/>
        <w:spacing w:before="120" w:after="120"/>
      </w:pPr>
      <w:r>
        <w:rPr>
          <w:rFonts w:hint="eastAsia"/>
          <w:lang w:bidi="ar"/>
        </w:rPr>
        <w:t>设备维修信息</w:t>
      </w:r>
    </w:p>
    <w:p>
      <w:pPr>
        <w:pStyle w:val="58"/>
        <w:ind w:firstLine="420"/>
      </w:pPr>
      <w:r>
        <w:rPr>
          <w:rFonts w:hint="eastAsia"/>
        </w:rPr>
        <w:t>设备维修管理实现铸造车间生产设备的日常巡检和维修工作的管理，主要包括</w:t>
      </w:r>
      <w:r>
        <w:rPr>
          <w:rFonts w:hint="eastAsia"/>
          <w:lang w:bidi="ar"/>
        </w:rPr>
        <w:t>检查项模块信息、维修计划模块、维修记录模块、维修审批模块、报修记录模块、故障分析模块、故障知识库。</w:t>
      </w:r>
    </w:p>
    <w:p>
      <w:pPr>
        <w:pStyle w:val="96"/>
        <w:spacing w:before="120" w:after="120"/>
      </w:pPr>
      <w:r>
        <w:rPr>
          <w:rFonts w:hint="eastAsia"/>
          <w:lang w:bidi="ar"/>
        </w:rPr>
        <w:t>设备保养信息</w:t>
      </w:r>
    </w:p>
    <w:p>
      <w:pPr>
        <w:pStyle w:val="58"/>
        <w:ind w:firstLine="420"/>
      </w:pPr>
      <w:r>
        <w:rPr>
          <w:rFonts w:hint="eastAsia"/>
        </w:rPr>
        <w:t>设备保养管理实现铸造车间生产设备的维保工作及设备状态进行查看、维护等管理，主要包括</w:t>
      </w:r>
      <w:r>
        <w:rPr>
          <w:rFonts w:hint="eastAsia" w:ascii="宋体"/>
          <w:lang w:bidi="ar"/>
        </w:rPr>
        <w:t>设备保养项信息、设备保养计划、保养汇报信息、保养审批信息、保养记录。</w:t>
      </w:r>
    </w:p>
    <w:p>
      <w:pPr>
        <w:pStyle w:val="67"/>
        <w:spacing w:before="120" w:after="120"/>
      </w:pPr>
      <w:bookmarkStart w:id="105" w:name="_Toc17916"/>
      <w:bookmarkStart w:id="106" w:name="_Toc31827"/>
      <w:bookmarkStart w:id="107" w:name="_Toc13003"/>
      <w:bookmarkStart w:id="108" w:name="_Toc32746"/>
      <w:bookmarkStart w:id="109" w:name="_Toc30455"/>
      <w:bookmarkStart w:id="110" w:name="_Toc23939"/>
      <w:bookmarkStart w:id="111" w:name="_Toc135229425"/>
      <w:bookmarkStart w:id="112" w:name="_Toc28615"/>
      <w:r>
        <w:rPr>
          <w:rFonts w:hint="eastAsia"/>
          <w:lang w:bidi="ar"/>
        </w:rPr>
        <w:t>仓储管理</w:t>
      </w:r>
      <w:bookmarkEnd w:id="105"/>
      <w:bookmarkEnd w:id="106"/>
      <w:bookmarkEnd w:id="107"/>
      <w:bookmarkEnd w:id="108"/>
      <w:bookmarkEnd w:id="109"/>
      <w:bookmarkEnd w:id="110"/>
      <w:r>
        <w:rPr>
          <w:rFonts w:hint="eastAsia"/>
          <w:lang w:bidi="ar"/>
        </w:rPr>
        <w:t>类</w:t>
      </w:r>
      <w:r>
        <w:rPr>
          <w:rFonts w:hint="eastAsia"/>
        </w:rPr>
        <w:t>接口</w:t>
      </w:r>
      <w:r>
        <w:rPr>
          <w:rFonts w:hint="eastAsia"/>
          <w:lang w:bidi="ar"/>
        </w:rPr>
        <w:t>信息</w:t>
      </w:r>
      <w:bookmarkEnd w:id="111"/>
      <w:bookmarkEnd w:id="112"/>
    </w:p>
    <w:p>
      <w:pPr>
        <w:pStyle w:val="96"/>
        <w:spacing w:before="120" w:after="120"/>
      </w:pPr>
      <w:r>
        <w:rPr>
          <w:rFonts w:hint="eastAsia"/>
          <w:lang w:bidi="ar"/>
        </w:rPr>
        <w:t>概述</w:t>
      </w:r>
    </w:p>
    <w:p>
      <w:pPr>
        <w:pStyle w:val="58"/>
        <w:ind w:firstLine="420"/>
      </w:pPr>
      <w:r>
        <w:rPr>
          <w:rFonts w:hint="eastAsia"/>
        </w:rPr>
        <w:t>仓储管理是MES与WMS之间的信息交换，注重活动的执行事务和活动之间的顺序，不同企业可能存在不同的角色或岗位执行相应的管理工作。MES与WMS系统接口按照信息类型分类，主要有库存定义信息，库存能力信息，库存请求信息、库存响应信息。</w:t>
      </w:r>
    </w:p>
    <w:p>
      <w:pPr>
        <w:pStyle w:val="96"/>
        <w:spacing w:before="120" w:after="120"/>
      </w:pPr>
      <w:r>
        <w:rPr>
          <w:rFonts w:hint="eastAsia"/>
          <w:lang w:bidi="ar"/>
        </w:rPr>
        <w:t>库存定义信息</w:t>
      </w:r>
    </w:p>
    <w:p>
      <w:pPr>
        <w:pStyle w:val="58"/>
        <w:ind w:firstLine="420"/>
      </w:pPr>
      <w:r>
        <w:rPr>
          <w:rFonts w:hint="eastAsia"/>
        </w:rPr>
        <w:t>库存定义是描述物料移动和库存存储相关定义信息和规则，主要包含</w:t>
      </w:r>
      <w:r>
        <w:rPr>
          <w:rFonts w:hint="eastAsia" w:ascii="宋体"/>
          <w:lang w:bidi="ar"/>
        </w:rPr>
        <w:t>库存区域信息、库存位置信息、库存规则属性。</w:t>
      </w:r>
    </w:p>
    <w:p>
      <w:pPr>
        <w:pStyle w:val="96"/>
        <w:spacing w:before="120" w:after="120"/>
      </w:pPr>
      <w:r>
        <w:rPr>
          <w:rFonts w:hint="eastAsia"/>
          <w:lang w:bidi="ar"/>
        </w:rPr>
        <w:t>库存能力信息</w:t>
      </w:r>
    </w:p>
    <w:p>
      <w:pPr>
        <w:pStyle w:val="58"/>
        <w:ind w:firstLine="420"/>
      </w:pPr>
      <w:r>
        <w:rPr>
          <w:rFonts w:hint="eastAsia"/>
        </w:rPr>
        <w:t>库存能力是特定时间范围内运转物料的能力，主要包括仓库能力信息、出库请求信息、入库请求信息、退库请求信息、库内调整请求信息。</w:t>
      </w:r>
    </w:p>
    <w:p>
      <w:pPr>
        <w:pStyle w:val="96"/>
        <w:spacing w:before="120" w:after="120"/>
        <w:rPr>
          <w:rFonts w:hAnsi="宋体"/>
          <w:szCs w:val="21"/>
        </w:rPr>
      </w:pPr>
      <w:r>
        <w:rPr>
          <w:rFonts w:hint="eastAsia"/>
          <w:lang w:bidi="ar"/>
        </w:rPr>
        <w:t>库存响应</w:t>
      </w:r>
      <w:r>
        <w:rPr>
          <w:rFonts w:hint="eastAsia" w:hAnsi="宋体"/>
          <w:szCs w:val="21"/>
          <w:lang w:bidi="ar"/>
        </w:rPr>
        <w:t>信息</w:t>
      </w:r>
    </w:p>
    <w:p>
      <w:pPr>
        <w:pStyle w:val="58"/>
        <w:ind w:firstLine="420"/>
      </w:pPr>
      <w:r>
        <w:rPr>
          <w:rFonts w:hint="eastAsia"/>
        </w:rPr>
        <w:t>库存响应是WMS系统对MES请求信息的回应，给出请求的完成情况（成功或不成功），主要包含</w:t>
      </w:r>
      <w:r>
        <w:rPr>
          <w:rFonts w:hint="eastAsia" w:ascii="宋体"/>
          <w:lang w:bidi="ar"/>
        </w:rPr>
        <w:t>出库响应信息、入库响应信息、退库响应信息、库内调整响应信息。</w:t>
      </w:r>
    </w:p>
    <w:p>
      <w:pPr>
        <w:pStyle w:val="106"/>
        <w:spacing w:before="240" w:after="240"/>
      </w:pPr>
      <w:bookmarkStart w:id="113" w:name="_Toc135229426"/>
      <w:bookmarkStart w:id="114" w:name="_Toc4812"/>
      <w:r>
        <w:rPr>
          <w:rFonts w:hint="eastAsia"/>
          <w:lang w:bidi="ar"/>
        </w:rPr>
        <w:t>接口信息</w:t>
      </w:r>
      <w:r>
        <w:rPr>
          <w:rFonts w:hint="eastAsia" w:hAnsi="宋体"/>
          <w:szCs w:val="21"/>
          <w:lang w:bidi="ar"/>
        </w:rPr>
        <w:t>交换</w:t>
      </w:r>
      <w:r>
        <w:rPr>
          <w:rFonts w:hint="eastAsia"/>
          <w:lang w:bidi="ar"/>
        </w:rPr>
        <w:t>要求</w:t>
      </w:r>
      <w:bookmarkEnd w:id="113"/>
      <w:bookmarkEnd w:id="114"/>
    </w:p>
    <w:p>
      <w:pPr>
        <w:pStyle w:val="107"/>
        <w:spacing w:before="120" w:after="120"/>
      </w:pPr>
      <w:bookmarkStart w:id="115" w:name="_Toc27087"/>
      <w:bookmarkStart w:id="116" w:name="_Toc135229427"/>
      <w:r>
        <w:rPr>
          <w:rFonts w:hint="eastAsia"/>
          <w:lang w:bidi="ar"/>
        </w:rPr>
        <w:t>概述</w:t>
      </w:r>
      <w:bookmarkEnd w:id="115"/>
      <w:bookmarkEnd w:id="116"/>
    </w:p>
    <w:p>
      <w:pPr>
        <w:pStyle w:val="58"/>
        <w:ind w:firstLine="420"/>
      </w:pPr>
      <w:bookmarkStart w:id="117" w:name="_Hlk132877371"/>
      <w:r>
        <w:rPr>
          <w:rFonts w:hint="eastAsia"/>
        </w:rPr>
        <w:t>MES与业务管理系统的信息交换通过消息交互来实现。消息交互前应确定消息类型、消息交易方式、消息发送调用方式、消息格式等。</w:t>
      </w:r>
      <w:bookmarkEnd w:id="117"/>
    </w:p>
    <w:p>
      <w:pPr>
        <w:pStyle w:val="107"/>
        <w:spacing w:before="120" w:after="120"/>
      </w:pPr>
      <w:bookmarkStart w:id="118" w:name="_Toc11070"/>
      <w:bookmarkStart w:id="119" w:name="_Toc135229428"/>
      <w:r>
        <w:rPr>
          <w:rFonts w:hint="eastAsia"/>
          <w:lang w:bidi="ar"/>
        </w:rPr>
        <w:t>消息类型</w:t>
      </w:r>
      <w:bookmarkEnd w:id="118"/>
      <w:bookmarkEnd w:id="119"/>
    </w:p>
    <w:p>
      <w:pPr>
        <w:pStyle w:val="58"/>
        <w:ind w:firstLine="420"/>
      </w:pPr>
      <w:r>
        <w:rPr>
          <w:rFonts w:hint="eastAsia"/>
        </w:rPr>
        <w:t>消息类型主要包括以下内容：</w:t>
      </w:r>
    </w:p>
    <w:p>
      <w:pPr>
        <w:pStyle w:val="176"/>
      </w:pPr>
      <w:r>
        <w:rPr>
          <w:rFonts w:hint="eastAsia"/>
          <w:lang w:bidi="ar"/>
        </w:rPr>
        <w:t>消息：消息交互的主体，内容包含要交换的具体业务数据；</w:t>
      </w:r>
    </w:p>
    <w:p>
      <w:pPr>
        <w:pStyle w:val="176"/>
      </w:pPr>
      <w:r>
        <w:rPr>
          <w:rFonts w:hint="eastAsia"/>
          <w:lang w:bidi="ar"/>
        </w:rPr>
        <w:t>确认消息：消息接收方必须对收到的消息做底层自动确认，表示该消息己经收到，并返回必要的确认数据，以保发送消息的可靠性；</w:t>
      </w:r>
    </w:p>
    <w:p>
      <w:pPr>
        <w:pStyle w:val="176"/>
      </w:pPr>
      <w:r>
        <w:rPr>
          <w:rFonts w:hint="eastAsia"/>
          <w:lang w:bidi="ar"/>
        </w:rPr>
        <w:t>应答消息：对普通消息的接收及正确处理进行应答，使消息发送方获知消息已被对方接收并正确处理。消息交互是需要应答，由通信双方约定。</w:t>
      </w:r>
    </w:p>
    <w:p>
      <w:pPr>
        <w:pStyle w:val="107"/>
        <w:spacing w:before="120" w:after="120"/>
      </w:pPr>
      <w:bookmarkStart w:id="120" w:name="_Toc15544"/>
      <w:bookmarkStart w:id="121" w:name="_Toc135229429"/>
      <w:r>
        <w:rPr>
          <w:rFonts w:hint="eastAsia"/>
          <w:lang w:bidi="ar"/>
        </w:rPr>
        <w:t>消息交互方式</w:t>
      </w:r>
      <w:bookmarkEnd w:id="120"/>
      <w:bookmarkEnd w:id="121"/>
    </w:p>
    <w:p>
      <w:pPr>
        <w:pStyle w:val="58"/>
        <w:ind w:firstLine="420"/>
      </w:pPr>
      <w:r>
        <w:rPr>
          <w:rFonts w:hint="eastAsia"/>
        </w:rPr>
        <w:t>消息</w:t>
      </w:r>
      <w:r>
        <w:rPr>
          <w:rFonts w:hint="eastAsia" w:hAnsi="宋体"/>
          <w:szCs w:val="21"/>
          <w:lang w:bidi="ar"/>
        </w:rPr>
        <w:t>交互</w:t>
      </w:r>
      <w:r>
        <w:rPr>
          <w:rFonts w:hint="eastAsia"/>
        </w:rPr>
        <w:t>方式主要包括以下内容：</w:t>
      </w:r>
    </w:p>
    <w:p>
      <w:pPr>
        <w:pStyle w:val="176"/>
        <w:numPr>
          <w:ilvl w:val="0"/>
          <w:numId w:val="34"/>
        </w:numPr>
      </w:pPr>
      <w:r>
        <w:rPr>
          <w:rFonts w:hint="eastAsia"/>
          <w:lang w:bidi="ar"/>
        </w:rPr>
        <w:t>拉动式：数据使用方请求从数提供方获取数据；</w:t>
      </w:r>
    </w:p>
    <w:p>
      <w:pPr>
        <w:pStyle w:val="176"/>
      </w:pPr>
      <w:r>
        <w:rPr>
          <w:rFonts w:hint="eastAsia"/>
          <w:lang w:bidi="ar"/>
        </w:rPr>
        <w:t>推动式：数据提供方将数据椎送给数据使用方，同时请求对这些数据进行操作（处理、修改或删除）；</w:t>
      </w:r>
    </w:p>
    <w:p>
      <w:pPr>
        <w:pStyle w:val="176"/>
      </w:pPr>
      <w:r>
        <w:rPr>
          <w:rFonts w:hint="eastAsia"/>
          <w:lang w:bidi="ar"/>
        </w:rPr>
        <w:t>发布订阅：数据提供方将数据供给数据订阅方。</w:t>
      </w:r>
    </w:p>
    <w:p>
      <w:pPr>
        <w:pStyle w:val="107"/>
        <w:spacing w:before="120" w:after="120"/>
      </w:pPr>
      <w:bookmarkStart w:id="122" w:name="_Toc135229430"/>
      <w:bookmarkStart w:id="123" w:name="_Toc19302"/>
      <w:r>
        <w:rPr>
          <w:rFonts w:hint="eastAsia"/>
          <w:b w:val="0"/>
          <w:bCs w:val="0"/>
          <w:lang w:bidi="ar"/>
        </w:rPr>
        <w:t>消</w:t>
      </w:r>
      <w:r>
        <w:rPr>
          <w:rFonts w:hint="eastAsia"/>
          <w:lang w:bidi="ar"/>
        </w:rPr>
        <w:t>息发送调用方式</w:t>
      </w:r>
      <w:bookmarkEnd w:id="122"/>
      <w:bookmarkEnd w:id="123"/>
    </w:p>
    <w:p>
      <w:pPr>
        <w:pStyle w:val="167"/>
      </w:pPr>
      <w:r>
        <w:rPr>
          <w:rFonts w:hint="eastAsia"/>
        </w:rPr>
        <w:t>消息发送调用方式</w:t>
      </w:r>
      <w:r>
        <w:rPr>
          <w:rFonts w:hint="eastAsia"/>
          <w:lang w:val="en-US" w:eastAsia="zh-CN"/>
        </w:rPr>
        <w:t>分</w:t>
      </w:r>
      <w:r>
        <w:rPr>
          <w:rFonts w:hint="eastAsia"/>
        </w:rPr>
        <w:t>同步方式和异步方式。</w:t>
      </w:r>
    </w:p>
    <w:p>
      <w:pPr>
        <w:pStyle w:val="167"/>
      </w:pPr>
      <w:r>
        <w:rPr>
          <w:rFonts w:hint="eastAsia"/>
        </w:rPr>
        <w:t>同步方式是指发送方发送消息后，等待接收方收到消息并处理返回后才继续运行</w:t>
      </w:r>
      <w:r>
        <w:rPr>
          <w:rFonts w:hint="eastAsia"/>
          <w:lang w:eastAsia="zh-CN"/>
        </w:rPr>
        <w:t>，</w:t>
      </w:r>
      <w:r>
        <w:rPr>
          <w:rFonts w:hint="eastAsia"/>
        </w:rPr>
        <w:t>如图2。</w:t>
      </w:r>
    </w:p>
    <w:p>
      <w:pPr>
        <w:pStyle w:val="25"/>
        <w:widowControl/>
        <w:autoSpaceDE w:val="0"/>
        <w:autoSpaceDN w:val="0"/>
        <w:adjustRightInd/>
        <w:spacing w:line="240" w:lineRule="auto"/>
        <w:ind w:firstLine="420" w:firstLineChars="200"/>
        <w:rPr>
          <w:rFonts w:hAnsi="宋体" w:cs="宋体"/>
        </w:rPr>
      </w:pPr>
      <w:r>
        <w:rPr>
          <w:rFonts w:hint="eastAsia" w:ascii="宋体" w:hAnsi="宋体" w:cs="宋体"/>
          <w:kern w:val="0"/>
          <w:sz w:val="21"/>
        </w:rPr>
        <w:drawing>
          <wp:inline distT="0" distB="0" distL="114300" distR="114300">
            <wp:extent cx="5276850" cy="3648075"/>
            <wp:effectExtent l="0" t="0" r="0" b="0"/>
            <wp:docPr id="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
                    <pic:cNvPicPr>
                      <a:picLocks noChangeAspect="1"/>
                    </pic:cNvPicPr>
                  </pic:nvPicPr>
                  <pic:blipFill>
                    <a:blip r:embed="rId39"/>
                    <a:stretch>
                      <a:fillRect/>
                    </a:stretch>
                  </pic:blipFill>
                  <pic:spPr>
                    <a:xfrm>
                      <a:off x="0" y="0"/>
                      <a:ext cx="5276850" cy="3648075"/>
                    </a:xfrm>
                    <a:prstGeom prst="rect">
                      <a:avLst/>
                    </a:prstGeom>
                    <a:noFill/>
                    <a:ln>
                      <a:noFill/>
                    </a:ln>
                  </pic:spPr>
                </pic:pic>
              </a:graphicData>
            </a:graphic>
          </wp:inline>
        </w:drawing>
      </w:r>
    </w:p>
    <w:p>
      <w:pPr>
        <w:pStyle w:val="116"/>
        <w:spacing w:before="120" w:after="120"/>
        <w:rPr>
          <w:lang w:bidi="ar"/>
        </w:rPr>
      </w:pPr>
      <w:r>
        <w:rPr>
          <w:rFonts w:hint="eastAsia"/>
          <w:lang w:bidi="ar"/>
        </w:rPr>
        <w:t>同步方式的消息发送</w:t>
      </w:r>
    </w:p>
    <w:p>
      <w:pPr>
        <w:pStyle w:val="167"/>
        <w:rPr>
          <w:color w:val="auto"/>
          <w:highlight w:val="none"/>
        </w:rPr>
      </w:pPr>
      <w:r>
        <w:rPr>
          <w:rFonts w:hint="eastAsia"/>
          <w:lang w:bidi="ar"/>
        </w:rPr>
        <w:t>异步方式是指发送方</w:t>
      </w:r>
      <w:r>
        <w:rPr>
          <w:rFonts w:hint="eastAsia"/>
          <w:color w:val="auto"/>
          <w:highlight w:val="none"/>
          <w:lang w:bidi="ar"/>
        </w:rPr>
        <w:t>发送消息后直接返回</w:t>
      </w:r>
      <w:r>
        <w:rPr>
          <w:rFonts w:hint="eastAsia"/>
          <w:color w:val="auto"/>
          <w:highlight w:val="none"/>
          <w:lang w:eastAsia="zh-CN" w:bidi="ar"/>
        </w:rPr>
        <w:t>。</w:t>
      </w:r>
      <w:r>
        <w:rPr>
          <w:rFonts w:hint="eastAsia"/>
          <w:color w:val="auto"/>
          <w:highlight w:val="none"/>
          <w:lang w:bidi="ar"/>
        </w:rPr>
        <w:t>发送消息存入通信中间件的发送队列，并且存入队列的动作可以与应用处理保持事务一致性</w:t>
      </w:r>
      <w:r>
        <w:rPr>
          <w:rFonts w:hint="eastAsia"/>
          <w:color w:val="auto"/>
          <w:highlight w:val="none"/>
          <w:lang w:eastAsia="zh-CN" w:bidi="ar"/>
        </w:rPr>
        <w:t>。</w:t>
      </w:r>
      <w:r>
        <w:rPr>
          <w:rFonts w:hint="eastAsia"/>
          <w:color w:val="auto"/>
          <w:highlight w:val="none"/>
          <w:lang w:bidi="ar"/>
        </w:rPr>
        <w:t>消息发送后，由通信中间件将消息异步发送到接收方的接收队列。</w:t>
      </w:r>
    </w:p>
    <w:p>
      <w:pPr>
        <w:pStyle w:val="167"/>
      </w:pPr>
      <w:r>
        <w:rPr>
          <w:rFonts w:hint="eastAsia"/>
          <w:color w:val="auto"/>
          <w:highlight w:val="none"/>
          <w:lang w:bidi="ar"/>
        </w:rPr>
        <w:t>消息到达接收方后，有通信中间件从接收队列中取出消息，由接收</w:t>
      </w:r>
      <w:r>
        <w:rPr>
          <w:rFonts w:hint="eastAsia"/>
          <w:color w:val="auto"/>
          <w:highlight w:val="none"/>
          <w:lang w:val="en-US" w:eastAsia="zh-CN" w:bidi="ar"/>
        </w:rPr>
        <w:t>方</w:t>
      </w:r>
      <w:r>
        <w:rPr>
          <w:rFonts w:hint="eastAsia"/>
          <w:color w:val="auto"/>
          <w:highlight w:val="none"/>
          <w:lang w:bidi="ar"/>
        </w:rPr>
        <w:t>进行处理</w:t>
      </w:r>
      <w:r>
        <w:rPr>
          <w:rFonts w:hint="eastAsia"/>
          <w:lang w:bidi="ar"/>
        </w:rPr>
        <w:t>，如图3。</w:t>
      </w:r>
    </w:p>
    <w:p>
      <w:pPr>
        <w:pStyle w:val="25"/>
        <w:widowControl/>
        <w:autoSpaceDE w:val="0"/>
        <w:autoSpaceDN w:val="0"/>
        <w:adjustRightInd/>
        <w:spacing w:line="240" w:lineRule="auto"/>
        <w:ind w:firstLine="420" w:firstLineChars="200"/>
        <w:rPr>
          <w:rFonts w:hAnsi="宋体" w:cs="宋体"/>
        </w:rPr>
      </w:pPr>
      <w:r>
        <w:rPr>
          <w:rFonts w:hint="eastAsia" w:ascii="宋体" w:hAnsi="宋体" w:cs="宋体"/>
          <w:kern w:val="0"/>
          <w:sz w:val="21"/>
        </w:rPr>
        <w:drawing>
          <wp:inline distT="0" distB="0" distL="114300" distR="114300">
            <wp:extent cx="5276850" cy="3648075"/>
            <wp:effectExtent l="0" t="0" r="0" b="0"/>
            <wp:docPr id="8"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2"/>
                    <pic:cNvPicPr>
                      <a:picLocks noChangeAspect="1"/>
                    </pic:cNvPicPr>
                  </pic:nvPicPr>
                  <pic:blipFill>
                    <a:blip r:embed="rId40"/>
                    <a:stretch>
                      <a:fillRect/>
                    </a:stretch>
                  </pic:blipFill>
                  <pic:spPr>
                    <a:xfrm>
                      <a:off x="0" y="0"/>
                      <a:ext cx="5276850" cy="3648075"/>
                    </a:xfrm>
                    <a:prstGeom prst="rect">
                      <a:avLst/>
                    </a:prstGeom>
                    <a:noFill/>
                    <a:ln>
                      <a:noFill/>
                    </a:ln>
                  </pic:spPr>
                </pic:pic>
              </a:graphicData>
            </a:graphic>
          </wp:inline>
        </w:drawing>
      </w:r>
    </w:p>
    <w:p>
      <w:pPr>
        <w:ind w:firstLine="420" w:firstLineChars="200"/>
        <w:jc w:val="center"/>
        <w:rPr>
          <w:rFonts w:ascii="宋体" w:hAnsi="宋体" w:cs="宋体"/>
        </w:rPr>
      </w:pPr>
      <w:r>
        <w:rPr>
          <w:rFonts w:hint="eastAsia" w:ascii="宋体" w:hAnsi="宋体" w:cs="宋体"/>
        </w:rPr>
        <w:drawing>
          <wp:inline distT="0" distB="0" distL="114300" distR="114300">
            <wp:extent cx="5276850" cy="3648075"/>
            <wp:effectExtent l="0" t="0" r="0" b="0"/>
            <wp:docPr id="3"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
                    <pic:cNvPicPr>
                      <a:picLocks noChangeAspect="1"/>
                    </pic:cNvPicPr>
                  </pic:nvPicPr>
                  <pic:blipFill>
                    <a:blip r:embed="rId40"/>
                    <a:stretch>
                      <a:fillRect/>
                    </a:stretch>
                  </pic:blipFill>
                  <pic:spPr>
                    <a:xfrm>
                      <a:off x="0" y="0"/>
                      <a:ext cx="5276850" cy="3648075"/>
                    </a:xfrm>
                    <a:prstGeom prst="rect">
                      <a:avLst/>
                    </a:prstGeom>
                    <a:noFill/>
                    <a:ln>
                      <a:noFill/>
                    </a:ln>
                  </pic:spPr>
                </pic:pic>
              </a:graphicData>
            </a:graphic>
          </wp:inline>
        </w:drawing>
      </w:r>
    </w:p>
    <w:p>
      <w:pPr>
        <w:pStyle w:val="116"/>
        <w:spacing w:before="120" w:after="120"/>
        <w:rPr>
          <w:lang w:bidi="ar"/>
        </w:rPr>
      </w:pPr>
      <w:r>
        <w:rPr>
          <w:rFonts w:hint="eastAsia"/>
          <w:lang w:bidi="ar"/>
        </w:rPr>
        <w:t>异步方式的消息发送</w:t>
      </w:r>
    </w:p>
    <w:p>
      <w:pPr>
        <w:pStyle w:val="107"/>
        <w:spacing w:before="120" w:after="120"/>
      </w:pPr>
      <w:bookmarkStart w:id="124" w:name="_Toc135229431"/>
      <w:bookmarkStart w:id="125" w:name="_Toc18614"/>
      <w:r>
        <w:rPr>
          <w:rFonts w:hint="eastAsia"/>
          <w:lang w:bidi="ar"/>
        </w:rPr>
        <w:t>消息格式</w:t>
      </w:r>
      <w:bookmarkEnd w:id="124"/>
      <w:bookmarkEnd w:id="125"/>
    </w:p>
    <w:p>
      <w:pPr>
        <w:pStyle w:val="67"/>
        <w:spacing w:before="120" w:after="120"/>
        <w:rPr>
          <w:lang w:bidi="ar"/>
        </w:rPr>
      </w:pPr>
      <w:bookmarkStart w:id="126" w:name="_Toc12800"/>
      <w:bookmarkStart w:id="127" w:name="_Toc25550"/>
      <w:bookmarkStart w:id="128" w:name="_Toc22950"/>
      <w:bookmarkStart w:id="129" w:name="_Toc31720"/>
      <w:bookmarkStart w:id="130" w:name="_Toc135229432"/>
      <w:bookmarkStart w:id="131" w:name="_Toc15530"/>
      <w:bookmarkStart w:id="132" w:name="_Toc1154"/>
      <w:bookmarkStart w:id="133" w:name="_Toc31287"/>
      <w:r>
        <w:rPr>
          <w:rFonts w:hint="eastAsia"/>
          <w:lang w:bidi="ar"/>
        </w:rPr>
        <w:t>整体格式</w:t>
      </w:r>
      <w:bookmarkEnd w:id="126"/>
      <w:bookmarkEnd w:id="127"/>
      <w:bookmarkEnd w:id="128"/>
      <w:bookmarkEnd w:id="129"/>
      <w:bookmarkEnd w:id="130"/>
      <w:bookmarkEnd w:id="131"/>
      <w:bookmarkEnd w:id="132"/>
      <w:bookmarkEnd w:id="133"/>
    </w:p>
    <w:p>
      <w:pPr>
        <w:pStyle w:val="166"/>
      </w:pPr>
      <w:r>
        <w:rPr>
          <w:rFonts w:hint="eastAsia"/>
        </w:rPr>
        <w:t>每一个消息应该包含所有需要的信息，以确定消息的类型和来源。可将完整的信息直接包含在消息中，也可只存放双方约定的简短代码。</w:t>
      </w:r>
    </w:p>
    <w:p>
      <w:pPr>
        <w:pStyle w:val="166"/>
      </w:pPr>
      <w:r>
        <w:rPr>
          <w:rFonts w:hint="eastAsia"/>
        </w:rPr>
        <w:t>消息应有消息头和消息体（数据块）组成，见图4。</w:t>
      </w:r>
    </w:p>
    <w:p>
      <w:pPr>
        <w:pStyle w:val="25"/>
        <w:widowControl/>
        <w:autoSpaceDE w:val="0"/>
        <w:autoSpaceDN w:val="0"/>
        <w:adjustRightInd/>
        <w:spacing w:line="240" w:lineRule="auto"/>
        <w:ind w:firstLine="420" w:firstLineChars="200"/>
        <w:jc w:val="center"/>
        <w:rPr>
          <w:rFonts w:hAnsi="宋体" w:cs="宋体"/>
        </w:rPr>
      </w:pPr>
      <w:r>
        <w:rPr>
          <w:rFonts w:hint="eastAsia" w:ascii="宋体" w:hAnsi="宋体" w:cs="宋体"/>
          <w:kern w:val="0"/>
          <w:sz w:val="21"/>
        </w:rPr>
        <w:drawing>
          <wp:inline distT="0" distB="0" distL="114300" distR="114300">
            <wp:extent cx="2219325" cy="2314575"/>
            <wp:effectExtent l="0" t="0" r="0" b="0"/>
            <wp:docPr id="6"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3"/>
                    <pic:cNvPicPr>
                      <a:picLocks noChangeAspect="1"/>
                    </pic:cNvPicPr>
                  </pic:nvPicPr>
                  <pic:blipFill>
                    <a:blip r:embed="rId41"/>
                    <a:stretch>
                      <a:fillRect/>
                    </a:stretch>
                  </pic:blipFill>
                  <pic:spPr>
                    <a:xfrm>
                      <a:off x="0" y="0"/>
                      <a:ext cx="2219325" cy="2314575"/>
                    </a:xfrm>
                    <a:prstGeom prst="rect">
                      <a:avLst/>
                    </a:prstGeom>
                    <a:noFill/>
                    <a:ln>
                      <a:noFill/>
                    </a:ln>
                  </pic:spPr>
                </pic:pic>
              </a:graphicData>
            </a:graphic>
          </wp:inline>
        </w:drawing>
      </w:r>
    </w:p>
    <w:p>
      <w:pPr>
        <w:pStyle w:val="116"/>
        <w:spacing w:before="120" w:after="120"/>
        <w:rPr>
          <w:lang w:bidi="ar"/>
        </w:rPr>
      </w:pPr>
      <w:r>
        <w:rPr>
          <w:rFonts w:hint="eastAsia"/>
          <w:lang w:bidi="ar"/>
        </w:rPr>
        <w:t>消息组成结构</w:t>
      </w:r>
    </w:p>
    <w:p>
      <w:pPr>
        <w:pStyle w:val="67"/>
        <w:spacing w:before="120" w:after="120"/>
        <w:rPr>
          <w:lang w:bidi="ar"/>
        </w:rPr>
      </w:pPr>
      <w:bookmarkStart w:id="134" w:name="_Toc135229433"/>
      <w:bookmarkStart w:id="135" w:name="_Toc24512"/>
      <w:bookmarkStart w:id="136" w:name="_Toc21248"/>
      <w:bookmarkStart w:id="137" w:name="_Toc9519"/>
      <w:bookmarkStart w:id="138" w:name="_Toc16118"/>
      <w:bookmarkStart w:id="139" w:name="_Toc6683"/>
      <w:bookmarkStart w:id="140" w:name="_Toc5715"/>
      <w:bookmarkStart w:id="141" w:name="_Toc9554"/>
      <w:r>
        <w:rPr>
          <w:rFonts w:hint="eastAsia"/>
          <w:lang w:bidi="ar"/>
        </w:rPr>
        <w:t>消息头</w:t>
      </w:r>
      <w:bookmarkEnd w:id="134"/>
      <w:bookmarkEnd w:id="135"/>
      <w:bookmarkEnd w:id="136"/>
      <w:bookmarkEnd w:id="137"/>
      <w:bookmarkEnd w:id="138"/>
      <w:bookmarkEnd w:id="139"/>
      <w:bookmarkEnd w:id="140"/>
      <w:bookmarkEnd w:id="141"/>
    </w:p>
    <w:p>
      <w:pPr>
        <w:pStyle w:val="166"/>
      </w:pPr>
      <w:r>
        <w:rPr>
          <w:rFonts w:hint="eastAsia"/>
        </w:rPr>
        <w:t>消息头包含消息接收方用来处理消息的必要信息，通常包括发送方的地址或地址代码、确认的要求和指示、消息的创建日期和时间。</w:t>
      </w:r>
    </w:p>
    <w:p>
      <w:pPr>
        <w:pStyle w:val="166"/>
      </w:pPr>
      <w:r>
        <w:rPr>
          <w:rFonts w:hint="eastAsia"/>
        </w:rPr>
        <w:t>消息头的数据用于通信的应用层，如指示消息处理所需的确认。下图说明了消息头的基本结构。</w:t>
      </w:r>
    </w:p>
    <w:p>
      <w:pPr>
        <w:pStyle w:val="25"/>
        <w:widowControl/>
        <w:autoSpaceDE w:val="0"/>
        <w:autoSpaceDN w:val="0"/>
        <w:adjustRightInd/>
        <w:spacing w:line="240" w:lineRule="auto"/>
        <w:ind w:firstLine="420" w:firstLineChars="200"/>
        <w:jc w:val="center"/>
        <w:rPr>
          <w:rFonts w:hAnsi="宋体" w:cs="宋体"/>
        </w:rPr>
      </w:pPr>
      <w:r>
        <w:rPr>
          <w:rFonts w:hint="eastAsia" w:ascii="宋体" w:hAnsi="宋体" w:cs="宋体"/>
          <w:kern w:val="0"/>
          <w:sz w:val="21"/>
        </w:rPr>
        <w:drawing>
          <wp:inline distT="0" distB="0" distL="114300" distR="114300">
            <wp:extent cx="3895725" cy="3048000"/>
            <wp:effectExtent l="0" t="0" r="0" b="0"/>
            <wp:docPr id="9"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5"/>
                    <pic:cNvPicPr>
                      <a:picLocks noChangeAspect="1"/>
                    </pic:cNvPicPr>
                  </pic:nvPicPr>
                  <pic:blipFill>
                    <a:blip r:embed="rId42"/>
                    <a:stretch>
                      <a:fillRect/>
                    </a:stretch>
                  </pic:blipFill>
                  <pic:spPr>
                    <a:xfrm>
                      <a:off x="0" y="0"/>
                      <a:ext cx="3895725" cy="3048000"/>
                    </a:xfrm>
                    <a:prstGeom prst="rect">
                      <a:avLst/>
                    </a:prstGeom>
                    <a:noFill/>
                    <a:ln>
                      <a:noFill/>
                    </a:ln>
                  </pic:spPr>
                </pic:pic>
              </a:graphicData>
            </a:graphic>
          </wp:inline>
        </w:drawing>
      </w:r>
    </w:p>
    <w:p>
      <w:pPr>
        <w:pStyle w:val="116"/>
        <w:spacing w:before="120" w:after="120"/>
        <w:rPr>
          <w:lang w:bidi="ar"/>
        </w:rPr>
      </w:pPr>
      <w:r>
        <w:rPr>
          <w:rFonts w:hint="eastAsia"/>
          <w:lang w:bidi="ar"/>
        </w:rPr>
        <w:t>消息头的基本结构</w:t>
      </w:r>
    </w:p>
    <w:p>
      <w:pPr>
        <w:pStyle w:val="67"/>
        <w:spacing w:before="120" w:after="120"/>
        <w:rPr>
          <w:lang w:bidi="ar"/>
        </w:rPr>
      </w:pPr>
      <w:bookmarkStart w:id="142" w:name="_Toc19700"/>
      <w:bookmarkStart w:id="143" w:name="_Toc19287"/>
      <w:bookmarkStart w:id="144" w:name="_Toc30618"/>
      <w:bookmarkStart w:id="145" w:name="_Toc135229434"/>
      <w:bookmarkStart w:id="146" w:name="_Toc32542"/>
      <w:bookmarkStart w:id="147" w:name="_Toc17848"/>
      <w:bookmarkStart w:id="148" w:name="_Toc24226"/>
      <w:bookmarkStart w:id="149" w:name="_Toc17729"/>
      <w:r>
        <w:rPr>
          <w:rFonts w:hint="eastAsia"/>
          <w:lang w:bidi="ar"/>
        </w:rPr>
        <w:t>消息体（数据块）</w:t>
      </w:r>
      <w:bookmarkEnd w:id="142"/>
      <w:bookmarkEnd w:id="143"/>
      <w:bookmarkEnd w:id="144"/>
      <w:bookmarkEnd w:id="145"/>
      <w:bookmarkEnd w:id="146"/>
      <w:bookmarkEnd w:id="147"/>
      <w:bookmarkEnd w:id="148"/>
      <w:bookmarkEnd w:id="149"/>
    </w:p>
    <w:p>
      <w:pPr>
        <w:pStyle w:val="166"/>
      </w:pPr>
      <w:r>
        <w:rPr>
          <w:rFonts w:hint="eastAsia"/>
        </w:rPr>
        <w:t>消息体中主要包含业务对象数据。根据通信双方的约定，消息体中可包含对业务对象数据进行的操作。下图说明了消息体的组成结构。</w:t>
      </w:r>
    </w:p>
    <w:p>
      <w:pPr>
        <w:pStyle w:val="25"/>
        <w:widowControl/>
        <w:autoSpaceDE w:val="0"/>
        <w:autoSpaceDN w:val="0"/>
        <w:adjustRightInd/>
        <w:spacing w:line="240" w:lineRule="auto"/>
        <w:ind w:firstLine="420" w:firstLineChars="200"/>
        <w:jc w:val="center"/>
        <w:rPr>
          <w:rFonts w:hAnsi="宋体" w:cs="宋体"/>
        </w:rPr>
      </w:pPr>
      <w:r>
        <w:rPr>
          <w:rFonts w:hint="eastAsia" w:ascii="宋体" w:hAnsi="宋体" w:cs="宋体"/>
          <w:kern w:val="0"/>
          <w:sz w:val="21"/>
        </w:rPr>
        <w:drawing>
          <wp:inline distT="0" distB="0" distL="114300" distR="114300">
            <wp:extent cx="3028950" cy="2105025"/>
            <wp:effectExtent l="0" t="0" r="0" b="0"/>
            <wp:docPr id="10"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4"/>
                    <pic:cNvPicPr>
                      <a:picLocks noChangeAspect="1"/>
                    </pic:cNvPicPr>
                  </pic:nvPicPr>
                  <pic:blipFill>
                    <a:blip r:embed="rId43"/>
                    <a:stretch>
                      <a:fillRect/>
                    </a:stretch>
                  </pic:blipFill>
                  <pic:spPr>
                    <a:xfrm>
                      <a:off x="0" y="0"/>
                      <a:ext cx="3028950" cy="2105025"/>
                    </a:xfrm>
                    <a:prstGeom prst="rect">
                      <a:avLst/>
                    </a:prstGeom>
                    <a:noFill/>
                    <a:ln>
                      <a:noFill/>
                    </a:ln>
                  </pic:spPr>
                </pic:pic>
              </a:graphicData>
            </a:graphic>
          </wp:inline>
        </w:drawing>
      </w:r>
    </w:p>
    <w:p>
      <w:pPr>
        <w:pStyle w:val="116"/>
        <w:spacing w:before="120" w:after="120"/>
        <w:rPr>
          <w:lang w:bidi="ar"/>
        </w:rPr>
      </w:pPr>
      <w:r>
        <w:rPr>
          <w:rFonts w:hint="eastAsia"/>
          <w:lang w:bidi="ar"/>
        </w:rPr>
        <w:t>消息体组成结构</w:t>
      </w:r>
    </w:p>
    <w:p>
      <w:pPr>
        <w:pStyle w:val="166"/>
      </w:pPr>
      <w:r>
        <w:rPr>
          <w:rFonts w:hint="eastAsia"/>
        </w:rPr>
        <w:t>消息体包含的主要操作如表1。</w:t>
      </w:r>
    </w:p>
    <w:p>
      <w:r>
        <w:rPr>
          <w:rFonts w:hint="eastAsia"/>
        </w:rPr>
        <w:br w:type="page"/>
      </w:r>
    </w:p>
    <w:p>
      <w:pPr>
        <w:pStyle w:val="166"/>
        <w:numPr>
          <w:ilvl w:val="4"/>
          <w:numId w:val="0"/>
        </w:numPr>
        <w:ind w:leftChars="0"/>
      </w:pPr>
    </w:p>
    <w:p>
      <w:pPr>
        <w:pStyle w:val="114"/>
        <w:spacing w:before="120" w:after="120"/>
      </w:pPr>
      <w:r>
        <w:rPr>
          <w:rFonts w:hint="eastAsia"/>
        </w:rPr>
        <w:t>消息体包含的主体操作</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40"/>
        <w:gridCol w:w="2841"/>
        <w:gridCol w:w="28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tcBorders>
              <w:top w:val="single" w:color="auto" w:sz="8" w:space="0"/>
              <w:bottom w:val="single" w:color="auto" w:sz="8" w:space="0"/>
            </w:tcBorders>
            <w:shd w:val="clear" w:color="auto" w:fill="auto"/>
            <w:vAlign w:val="center"/>
          </w:tcPr>
          <w:p>
            <w:pPr>
              <w:pStyle w:val="180"/>
            </w:pPr>
            <w:r>
              <w:rPr>
                <w:rFonts w:hint="eastAsia"/>
              </w:rPr>
              <w:t>操作名称</w:t>
            </w:r>
          </w:p>
        </w:tc>
        <w:tc>
          <w:tcPr>
            <w:tcW w:w="2841" w:type="dxa"/>
            <w:tcBorders>
              <w:top w:val="single" w:color="auto" w:sz="8" w:space="0"/>
              <w:bottom w:val="single" w:color="auto" w:sz="8" w:space="0"/>
            </w:tcBorders>
            <w:shd w:val="clear" w:color="auto" w:fill="auto"/>
            <w:vAlign w:val="center"/>
          </w:tcPr>
          <w:p>
            <w:pPr>
              <w:pStyle w:val="180"/>
            </w:pPr>
            <w:r>
              <w:rPr>
                <w:rFonts w:hint="eastAsia"/>
              </w:rPr>
              <w:t>说明</w:t>
            </w:r>
          </w:p>
        </w:tc>
        <w:tc>
          <w:tcPr>
            <w:tcW w:w="2841" w:type="dxa"/>
            <w:tcBorders>
              <w:top w:val="single" w:color="auto" w:sz="8" w:space="0"/>
              <w:bottom w:val="single" w:color="auto" w:sz="8" w:space="0"/>
            </w:tcBorders>
            <w:shd w:val="clear" w:color="auto" w:fill="auto"/>
            <w:vAlign w:val="center"/>
          </w:tcPr>
          <w:p>
            <w:pPr>
              <w:pStyle w:val="180"/>
            </w:pPr>
            <w:r>
              <w:rPr>
                <w:rFonts w:hint="eastAsia"/>
              </w:rPr>
              <w:t>消息交互方式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tcBorders>
              <w:top w:val="single" w:color="auto" w:sz="8" w:space="0"/>
            </w:tcBorders>
            <w:shd w:val="clear" w:color="auto" w:fill="auto"/>
            <w:vAlign w:val="center"/>
          </w:tcPr>
          <w:p>
            <w:pPr>
              <w:pStyle w:val="180"/>
            </w:pPr>
            <w:r>
              <w:rPr>
                <w:rFonts w:hint="eastAsia"/>
              </w:rPr>
              <w:t>处理/新增</w:t>
            </w:r>
          </w:p>
        </w:tc>
        <w:tc>
          <w:tcPr>
            <w:tcW w:w="2841" w:type="dxa"/>
            <w:tcBorders>
              <w:top w:val="single" w:color="auto" w:sz="8" w:space="0"/>
            </w:tcBorders>
            <w:shd w:val="clear" w:color="auto" w:fill="auto"/>
            <w:vAlign w:val="center"/>
          </w:tcPr>
          <w:p>
            <w:pPr>
              <w:pStyle w:val="180"/>
            </w:pPr>
            <w:r>
              <w:rPr>
                <w:rFonts w:hint="eastAsia"/>
              </w:rPr>
              <w:t>要求接收方根据信息内容对数据进行相关处理</w:t>
            </w:r>
          </w:p>
        </w:tc>
        <w:tc>
          <w:tcPr>
            <w:tcW w:w="2841" w:type="dxa"/>
            <w:tcBorders>
              <w:top w:val="single" w:color="auto" w:sz="8" w:space="0"/>
            </w:tcBorders>
            <w:shd w:val="clear" w:color="auto" w:fill="auto"/>
            <w:vAlign w:val="center"/>
          </w:tcPr>
          <w:p>
            <w:pPr>
              <w:pStyle w:val="180"/>
            </w:pPr>
            <w:r>
              <w:rPr>
                <w:rFonts w:hint="eastAsia"/>
              </w:rPr>
              <w:t>推动式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shd w:val="clear" w:color="auto" w:fill="auto"/>
            <w:vAlign w:val="center"/>
          </w:tcPr>
          <w:p>
            <w:pPr>
              <w:pStyle w:val="180"/>
            </w:pPr>
            <w:r>
              <w:rPr>
                <w:rFonts w:hint="eastAsia"/>
              </w:rPr>
              <w:t>应答</w:t>
            </w:r>
          </w:p>
        </w:tc>
        <w:tc>
          <w:tcPr>
            <w:tcW w:w="2841" w:type="dxa"/>
            <w:shd w:val="clear" w:color="auto" w:fill="auto"/>
            <w:vAlign w:val="center"/>
          </w:tcPr>
          <w:p>
            <w:pPr>
              <w:pStyle w:val="180"/>
            </w:pPr>
            <w:r>
              <w:rPr>
                <w:rFonts w:hint="eastAsia"/>
              </w:rPr>
              <w:t>对处理/新增操作的确认，接收到“处理/新增”信息后，将处理结果返回给“处理/新增”信息发送方</w:t>
            </w:r>
          </w:p>
        </w:tc>
        <w:tc>
          <w:tcPr>
            <w:tcW w:w="2841" w:type="dxa"/>
            <w:shd w:val="clear" w:color="auto" w:fill="auto"/>
            <w:vAlign w:val="center"/>
          </w:tcPr>
          <w:p>
            <w:pPr>
              <w:pStyle w:val="180"/>
            </w:pPr>
            <w:r>
              <w:rPr>
                <w:rFonts w:hint="eastAsia"/>
              </w:rPr>
              <w:t>推动式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shd w:val="clear" w:color="auto" w:fill="auto"/>
            <w:vAlign w:val="center"/>
          </w:tcPr>
          <w:p>
            <w:pPr>
              <w:pStyle w:val="180"/>
            </w:pPr>
            <w:r>
              <w:rPr>
                <w:rFonts w:hint="eastAsia"/>
              </w:rPr>
              <w:t>修改</w:t>
            </w:r>
          </w:p>
        </w:tc>
        <w:tc>
          <w:tcPr>
            <w:tcW w:w="2841" w:type="dxa"/>
            <w:shd w:val="clear" w:color="auto" w:fill="auto"/>
            <w:vAlign w:val="center"/>
          </w:tcPr>
          <w:p>
            <w:pPr>
              <w:pStyle w:val="180"/>
            </w:pPr>
            <w:r>
              <w:rPr>
                <w:rFonts w:hint="eastAsia"/>
              </w:rPr>
              <w:t>要求接收方根据信息内容修改相关数据</w:t>
            </w:r>
          </w:p>
        </w:tc>
        <w:tc>
          <w:tcPr>
            <w:tcW w:w="2841" w:type="dxa"/>
            <w:shd w:val="clear" w:color="auto" w:fill="auto"/>
            <w:vAlign w:val="center"/>
          </w:tcPr>
          <w:p>
            <w:pPr>
              <w:pStyle w:val="180"/>
            </w:pPr>
            <w:r>
              <w:rPr>
                <w:rFonts w:hint="eastAsia"/>
              </w:rPr>
              <w:t>推动式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shd w:val="clear" w:color="auto" w:fill="auto"/>
            <w:vAlign w:val="center"/>
          </w:tcPr>
          <w:p>
            <w:pPr>
              <w:pStyle w:val="180"/>
            </w:pPr>
            <w:r>
              <w:rPr>
                <w:rFonts w:hint="eastAsia"/>
              </w:rPr>
              <w:t>回复</w:t>
            </w:r>
          </w:p>
        </w:tc>
        <w:tc>
          <w:tcPr>
            <w:tcW w:w="2841" w:type="dxa"/>
            <w:shd w:val="clear" w:color="auto" w:fill="auto"/>
            <w:vAlign w:val="center"/>
          </w:tcPr>
          <w:p>
            <w:pPr>
              <w:pStyle w:val="180"/>
            </w:pPr>
            <w:r>
              <w:rPr>
                <w:rFonts w:hint="eastAsia"/>
              </w:rPr>
              <w:t>接收到“修改”信息后，将处理结果返回给“修改”信息发送方</w:t>
            </w:r>
          </w:p>
        </w:tc>
        <w:tc>
          <w:tcPr>
            <w:tcW w:w="2841" w:type="dxa"/>
            <w:shd w:val="clear" w:color="auto" w:fill="auto"/>
            <w:vAlign w:val="center"/>
          </w:tcPr>
          <w:p>
            <w:pPr>
              <w:pStyle w:val="180"/>
            </w:pPr>
            <w:r>
              <w:rPr>
                <w:rFonts w:hint="eastAsia"/>
              </w:rPr>
              <w:t>推动式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shd w:val="clear" w:color="auto" w:fill="auto"/>
            <w:vAlign w:val="center"/>
          </w:tcPr>
          <w:p>
            <w:pPr>
              <w:pStyle w:val="180"/>
            </w:pPr>
            <w:r>
              <w:rPr>
                <w:rFonts w:hint="eastAsia"/>
              </w:rPr>
              <w:t>删除</w:t>
            </w:r>
          </w:p>
        </w:tc>
        <w:tc>
          <w:tcPr>
            <w:tcW w:w="2841" w:type="dxa"/>
            <w:shd w:val="clear" w:color="auto" w:fill="auto"/>
            <w:vAlign w:val="center"/>
          </w:tcPr>
          <w:p>
            <w:pPr>
              <w:pStyle w:val="180"/>
            </w:pPr>
            <w:r>
              <w:rPr>
                <w:rFonts w:hint="eastAsia"/>
              </w:rPr>
              <w:t>要求接收方根据信息内容以删除相关数据</w:t>
            </w:r>
          </w:p>
        </w:tc>
        <w:tc>
          <w:tcPr>
            <w:tcW w:w="2841" w:type="dxa"/>
            <w:shd w:val="clear" w:color="auto" w:fill="auto"/>
            <w:vAlign w:val="center"/>
          </w:tcPr>
          <w:p>
            <w:pPr>
              <w:pStyle w:val="180"/>
            </w:pPr>
            <w:r>
              <w:rPr>
                <w:rFonts w:hint="eastAsia"/>
              </w:rPr>
              <w:t>推动式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shd w:val="clear" w:color="auto" w:fill="auto"/>
            <w:vAlign w:val="center"/>
          </w:tcPr>
          <w:p>
            <w:pPr>
              <w:pStyle w:val="180"/>
            </w:pPr>
            <w:r>
              <w:rPr>
                <w:rFonts w:hint="eastAsia"/>
              </w:rPr>
              <w:t>确认</w:t>
            </w:r>
          </w:p>
        </w:tc>
        <w:tc>
          <w:tcPr>
            <w:tcW w:w="2841" w:type="dxa"/>
            <w:shd w:val="clear" w:color="auto" w:fill="auto"/>
            <w:vAlign w:val="center"/>
          </w:tcPr>
          <w:p>
            <w:pPr>
              <w:pStyle w:val="180"/>
            </w:pPr>
            <w:r>
              <w:rPr>
                <w:rFonts w:hint="eastAsia"/>
              </w:rPr>
              <w:t>各种操作请求的确认</w:t>
            </w:r>
          </w:p>
        </w:tc>
        <w:tc>
          <w:tcPr>
            <w:tcW w:w="2841" w:type="dxa"/>
            <w:shd w:val="clear" w:color="auto" w:fill="auto"/>
            <w:vAlign w:val="center"/>
          </w:tcPr>
          <w:p>
            <w:pPr>
              <w:pStyle w:val="180"/>
            </w:pPr>
            <w:r>
              <w:rPr>
                <w:rFonts w:hint="eastAsia"/>
              </w:rPr>
              <w:t>推动式</w:t>
            </w:r>
          </w:p>
          <w:p>
            <w:pPr>
              <w:pStyle w:val="180"/>
            </w:pPr>
            <w:r>
              <w:rPr>
                <w:rFonts w:hint="eastAsia"/>
              </w:rPr>
              <w:t>拉动式</w:t>
            </w:r>
          </w:p>
          <w:p>
            <w:pPr>
              <w:pStyle w:val="180"/>
            </w:pPr>
            <w:r>
              <w:rPr>
                <w:rFonts w:hint="eastAsia"/>
              </w:rPr>
              <w:t>发布订阅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2840" w:type="dxa"/>
            <w:shd w:val="clear" w:color="auto" w:fill="auto"/>
            <w:vAlign w:val="center"/>
          </w:tcPr>
          <w:p>
            <w:pPr>
              <w:pStyle w:val="180"/>
            </w:pPr>
            <w:r>
              <w:rPr>
                <w:rFonts w:hint="eastAsia"/>
              </w:rPr>
              <w:t>获取/请求</w:t>
            </w:r>
          </w:p>
        </w:tc>
        <w:tc>
          <w:tcPr>
            <w:tcW w:w="2841" w:type="dxa"/>
            <w:shd w:val="clear" w:color="auto" w:fill="auto"/>
            <w:vAlign w:val="center"/>
          </w:tcPr>
          <w:p>
            <w:pPr>
              <w:pStyle w:val="180"/>
            </w:pPr>
            <w:r>
              <w:rPr>
                <w:rFonts w:hint="eastAsia"/>
              </w:rPr>
              <w:t>要求接收方返回一条或多条数据</w:t>
            </w:r>
          </w:p>
        </w:tc>
        <w:tc>
          <w:tcPr>
            <w:tcW w:w="2841" w:type="dxa"/>
            <w:shd w:val="clear" w:color="auto" w:fill="auto"/>
            <w:vAlign w:val="center"/>
          </w:tcPr>
          <w:p>
            <w:pPr>
              <w:pStyle w:val="180"/>
            </w:pPr>
            <w:r>
              <w:rPr>
                <w:rFonts w:hint="eastAsia"/>
              </w:rPr>
              <w:t>拉动式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shd w:val="clear" w:color="auto" w:fill="auto"/>
            <w:vAlign w:val="center"/>
          </w:tcPr>
          <w:p>
            <w:pPr>
              <w:pStyle w:val="180"/>
            </w:pPr>
            <w:r>
              <w:rPr>
                <w:rFonts w:hint="eastAsia"/>
              </w:rPr>
              <w:t>显示（数据）</w:t>
            </w:r>
          </w:p>
        </w:tc>
        <w:tc>
          <w:tcPr>
            <w:tcW w:w="2841" w:type="dxa"/>
            <w:shd w:val="clear" w:color="auto" w:fill="auto"/>
            <w:vAlign w:val="center"/>
          </w:tcPr>
          <w:p>
            <w:pPr>
              <w:pStyle w:val="180"/>
            </w:pPr>
            <w:r>
              <w:rPr>
                <w:rFonts w:hint="eastAsia"/>
              </w:rPr>
              <w:t>收到“获取/请求”操作后的反馈，返回所请求的数据</w:t>
            </w:r>
          </w:p>
        </w:tc>
        <w:tc>
          <w:tcPr>
            <w:tcW w:w="2841" w:type="dxa"/>
            <w:shd w:val="clear" w:color="auto" w:fill="auto"/>
            <w:vAlign w:val="center"/>
          </w:tcPr>
          <w:p>
            <w:pPr>
              <w:pStyle w:val="180"/>
            </w:pPr>
            <w:r>
              <w:rPr>
                <w:rFonts w:hint="eastAsia"/>
              </w:rPr>
              <w:t>拉动式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shd w:val="clear" w:color="auto" w:fill="auto"/>
            <w:vAlign w:val="center"/>
          </w:tcPr>
          <w:p>
            <w:pPr>
              <w:pStyle w:val="180"/>
            </w:pPr>
            <w:r>
              <w:rPr>
                <w:rFonts w:hint="eastAsia"/>
              </w:rPr>
              <w:t>同步新增</w:t>
            </w:r>
          </w:p>
        </w:tc>
        <w:tc>
          <w:tcPr>
            <w:tcW w:w="2841" w:type="dxa"/>
            <w:shd w:val="clear" w:color="auto" w:fill="auto"/>
            <w:vAlign w:val="center"/>
          </w:tcPr>
          <w:p>
            <w:pPr>
              <w:pStyle w:val="180"/>
            </w:pPr>
            <w:r>
              <w:rPr>
                <w:rFonts w:hint="eastAsia"/>
              </w:rPr>
              <w:t>数据拥有方发出新增数据的要求</w:t>
            </w:r>
          </w:p>
        </w:tc>
        <w:tc>
          <w:tcPr>
            <w:tcW w:w="2841" w:type="dxa"/>
            <w:shd w:val="clear" w:color="auto" w:fill="auto"/>
            <w:vAlign w:val="center"/>
          </w:tcPr>
          <w:p>
            <w:pPr>
              <w:pStyle w:val="180"/>
            </w:pPr>
            <w:r>
              <w:rPr>
                <w:rFonts w:hint="eastAsia"/>
              </w:rPr>
              <w:t>发布订阅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shd w:val="clear" w:color="auto" w:fill="auto"/>
            <w:vAlign w:val="center"/>
          </w:tcPr>
          <w:p>
            <w:pPr>
              <w:pStyle w:val="180"/>
            </w:pPr>
            <w:r>
              <w:rPr>
                <w:rFonts w:hint="eastAsia"/>
              </w:rPr>
              <w:t>同步修改</w:t>
            </w:r>
          </w:p>
        </w:tc>
        <w:tc>
          <w:tcPr>
            <w:tcW w:w="2841" w:type="dxa"/>
            <w:shd w:val="clear" w:color="auto" w:fill="auto"/>
            <w:vAlign w:val="center"/>
          </w:tcPr>
          <w:p>
            <w:pPr>
              <w:pStyle w:val="180"/>
            </w:pPr>
            <w:r>
              <w:rPr>
                <w:rFonts w:hint="eastAsia"/>
              </w:rPr>
              <w:t>数据拥有方发出修改数据的要求</w:t>
            </w:r>
          </w:p>
        </w:tc>
        <w:tc>
          <w:tcPr>
            <w:tcW w:w="2841" w:type="dxa"/>
            <w:shd w:val="clear" w:color="auto" w:fill="auto"/>
            <w:vAlign w:val="center"/>
          </w:tcPr>
          <w:p>
            <w:pPr>
              <w:pStyle w:val="180"/>
            </w:pPr>
            <w:r>
              <w:rPr>
                <w:rFonts w:hint="eastAsia"/>
              </w:rPr>
              <w:t>发布订阅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2840" w:type="dxa"/>
            <w:shd w:val="clear" w:color="auto" w:fill="auto"/>
            <w:vAlign w:val="center"/>
          </w:tcPr>
          <w:p>
            <w:pPr>
              <w:pStyle w:val="180"/>
            </w:pPr>
            <w:r>
              <w:rPr>
                <w:rFonts w:hint="eastAsia"/>
              </w:rPr>
              <w:t>同步删除</w:t>
            </w:r>
          </w:p>
        </w:tc>
        <w:tc>
          <w:tcPr>
            <w:tcW w:w="2841" w:type="dxa"/>
            <w:shd w:val="clear" w:color="auto" w:fill="auto"/>
            <w:vAlign w:val="center"/>
          </w:tcPr>
          <w:p>
            <w:pPr>
              <w:pStyle w:val="180"/>
            </w:pPr>
            <w:r>
              <w:rPr>
                <w:rFonts w:hint="eastAsia"/>
              </w:rPr>
              <w:t>数据拥有方发出删除数据的要求</w:t>
            </w:r>
          </w:p>
        </w:tc>
        <w:tc>
          <w:tcPr>
            <w:tcW w:w="2841" w:type="dxa"/>
            <w:shd w:val="clear" w:color="auto" w:fill="auto"/>
            <w:vAlign w:val="center"/>
          </w:tcPr>
          <w:p>
            <w:pPr>
              <w:pStyle w:val="180"/>
            </w:pPr>
            <w:r>
              <w:rPr>
                <w:rFonts w:hint="eastAsia"/>
              </w:rPr>
              <w:t>发布订阅</w:t>
            </w:r>
          </w:p>
        </w:tc>
      </w:tr>
    </w:tbl>
    <w:p>
      <w:pPr>
        <w:widowControl/>
        <w:jc w:val="left"/>
        <w:textAlignment w:val="center"/>
        <w:rPr>
          <w:rFonts w:ascii="宋体" w:hAnsi="Times New Roman" w:cs="宋体"/>
          <w:kern w:val="0"/>
          <w:szCs w:val="20"/>
        </w:rPr>
        <w:sectPr>
          <w:headerReference r:id="rId21" w:type="default"/>
          <w:footerReference r:id="rId23" w:type="default"/>
          <w:headerReference r:id="rId22" w:type="even"/>
          <w:footerReference r:id="rId24" w:type="even"/>
          <w:pgSz w:w="11906" w:h="16838"/>
          <w:pgMar w:top="2410" w:right="1134" w:bottom="1134" w:left="1134" w:header="1418" w:footer="1134" w:gutter="284"/>
          <w:cols w:space="425" w:num="1"/>
          <w:formProt w:val="0"/>
          <w:docGrid w:linePitch="312" w:charSpace="0"/>
        </w:sectPr>
      </w:pPr>
      <w:bookmarkStart w:id="163" w:name="_GoBack"/>
      <w:bookmarkEnd w:id="163"/>
    </w:p>
    <w:bookmarkEnd w:id="26"/>
    <w:p>
      <w:pPr>
        <w:pStyle w:val="200"/>
        <w:rPr>
          <w:vanish w:val="0"/>
        </w:rPr>
      </w:pPr>
      <w:bookmarkStart w:id="150" w:name="BookMark5"/>
    </w:p>
    <w:p>
      <w:pPr>
        <w:pStyle w:val="201"/>
        <w:rPr>
          <w:vanish w:val="0"/>
        </w:rPr>
      </w:pPr>
    </w:p>
    <w:p>
      <w:pPr>
        <w:pStyle w:val="78"/>
        <w:spacing w:before="60" w:after="120"/>
      </w:pPr>
      <w:r>
        <w:br w:type="textWrapping"/>
      </w:r>
      <w:bookmarkStart w:id="151" w:name="_Toc135229435"/>
      <w:r>
        <w:rPr>
          <w:rFonts w:hint="eastAsia"/>
        </w:rPr>
        <w:t>（资料性）</w:t>
      </w:r>
      <w:r>
        <w:br w:type="textWrapping"/>
      </w:r>
      <w:r>
        <w:rPr>
          <w:rFonts w:hint="eastAsia"/>
        </w:rPr>
        <w:t>MES与业务管理系统的接口信息字段</w:t>
      </w:r>
      <w:bookmarkEnd w:id="151"/>
    </w:p>
    <w:p>
      <w:pPr>
        <w:pStyle w:val="80"/>
        <w:spacing w:before="120" w:after="120"/>
      </w:pPr>
      <w:bookmarkStart w:id="152" w:name="_Toc25228"/>
      <w:bookmarkEnd w:id="152"/>
      <w:r>
        <w:rPr>
          <w:rFonts w:hint="eastAsia"/>
          <w:lang w:bidi="ar"/>
        </w:rPr>
        <w:t>生产运行管理类接口信息的字段</w:t>
      </w:r>
    </w:p>
    <w:p>
      <w:pPr>
        <w:pStyle w:val="58"/>
        <w:ind w:firstLine="420"/>
      </w:pPr>
      <w:r>
        <w:rPr>
          <w:rFonts w:hint="eastAsia"/>
        </w:rPr>
        <w:t>生产运行管理类接口信息用于对订单生产全过程管控，MES与其他业务管理系统的接口信息包括产品主数据信息、工艺信息、计划信息、计划执行汇报信息等。生产运行管理类接口信息的字段如表A.1。</w:t>
      </w:r>
    </w:p>
    <w:p>
      <w:pPr>
        <w:pStyle w:val="79"/>
        <w:spacing w:before="120" w:after="120"/>
      </w:pPr>
      <w:r>
        <w:rPr>
          <w:rFonts w:hint="eastAsia"/>
          <w:lang w:bidi="ar"/>
        </w:rPr>
        <w:t>生产运行管理类接口信息的字段</w:t>
      </w:r>
    </w:p>
    <w:tbl>
      <w:tblPr>
        <w:tblStyle w:val="27"/>
        <w:tblW w:w="9253" w:type="dxa"/>
        <w:tblInd w:w="98" w:type="dxa"/>
        <w:tblLayout w:type="fixed"/>
        <w:tblCellMar>
          <w:top w:w="0" w:type="dxa"/>
          <w:left w:w="108" w:type="dxa"/>
          <w:bottom w:w="0" w:type="dxa"/>
          <w:right w:w="108" w:type="dxa"/>
        </w:tblCellMar>
      </w:tblPr>
      <w:tblGrid>
        <w:gridCol w:w="606"/>
        <w:gridCol w:w="1168"/>
        <w:gridCol w:w="1350"/>
        <w:gridCol w:w="6129"/>
      </w:tblGrid>
      <w:tr>
        <w:tblPrEx>
          <w:tblCellMar>
            <w:top w:w="0" w:type="dxa"/>
            <w:left w:w="108" w:type="dxa"/>
            <w:bottom w:w="0" w:type="dxa"/>
            <w:right w:w="108" w:type="dxa"/>
          </w:tblCellMar>
        </w:tblPrEx>
        <w:trPr>
          <w:trHeight w:val="280" w:hRule="atLeast"/>
          <w:tblHeader/>
        </w:trPr>
        <w:tc>
          <w:tcPr>
            <w:tcW w:w="606" w:type="dxa"/>
            <w:tcBorders>
              <w:top w:val="single" w:color="000000" w:sz="8"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序号</w:t>
            </w:r>
          </w:p>
        </w:tc>
        <w:tc>
          <w:tcPr>
            <w:tcW w:w="1168" w:type="dxa"/>
            <w:tcBorders>
              <w:top w:val="single" w:color="000000" w:sz="8"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字段类型</w:t>
            </w:r>
          </w:p>
        </w:tc>
        <w:tc>
          <w:tcPr>
            <w:tcW w:w="1350" w:type="dxa"/>
            <w:tcBorders>
              <w:top w:val="single" w:color="000000" w:sz="8"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字段属性</w:t>
            </w:r>
          </w:p>
        </w:tc>
        <w:tc>
          <w:tcPr>
            <w:tcW w:w="6129" w:type="dxa"/>
            <w:tcBorders>
              <w:top w:val="single" w:color="000000" w:sz="8"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字段名称</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产品主数据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产品基础信息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产品代码、产品名称、材质、牌号、版本号、单箱件数、铸件号规则、图号、净重、浇注重量、毛坯重量、产品规格、产品类型等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产品分类信息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分类编码、分类名称等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3</w:t>
            </w:r>
          </w:p>
        </w:tc>
        <w:tc>
          <w:tcPr>
            <w:tcW w:w="1168" w:type="dxa"/>
            <w:vMerge w:val="continue"/>
            <w:tcBorders>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标准工序信息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序号、标准工序码、工序名称、工作中心编码、工作中心名称等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4</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工艺信息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产品工艺路线信息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产品代码、产品名称、材质、牌号、版本号、图号、工序顺序号、工序编码、工序名称、工作中心、工时等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5</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产品质量信息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产品代码、产品名称、版本号、材质、牌号、图号、工序编码、工序名称、检验类型、检验编码、最大值、标准值、最小值等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6</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产品尺寸信息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产品代码、产品名称、版本号、材质、牌号、图号、工序编码、工序名称、尺寸编号、最大值、标准值、最小值等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7</w:t>
            </w:r>
          </w:p>
        </w:tc>
        <w:tc>
          <w:tcPr>
            <w:tcW w:w="1168" w:type="dxa"/>
            <w:vMerge w:val="continue"/>
            <w:tcBorders>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产品生产辅助信息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产品代码、产品名称、版本号、材质、牌号、图号、工序编码、工序名称、生产辅具编码、生产辅具名称、生产辅具类型、作业指导书、图纸等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8</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计划信息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生产主计划信息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项目名称、客户、订单号、行号、产品代码、产品名称、数量、浇注重量、毛坯重量、净重、图号、材质、牌号、物料规格、产品分类、单箱件数、版本、工作中心、交货时间等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9</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工艺路线</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工序顺序号、标准工序码、工序名称、工作中心、工时、生产辅具等</w:t>
            </w:r>
          </w:p>
        </w:tc>
      </w:tr>
      <w:tr>
        <w:tblPrEx>
          <w:tblCellMar>
            <w:top w:w="0" w:type="dxa"/>
            <w:left w:w="108" w:type="dxa"/>
            <w:bottom w:w="0" w:type="dxa"/>
            <w:right w:w="108" w:type="dxa"/>
          </w:tblCellMar>
        </w:tblPrEx>
        <w:trPr>
          <w:trHeight w:val="1120" w:hRule="atLeast"/>
        </w:trPr>
        <w:tc>
          <w:tcPr>
            <w:tcW w:w="606" w:type="dxa"/>
            <w:tcBorders>
              <w:top w:val="single" w:color="000000" w:sz="4" w:space="0"/>
              <w:left w:val="single" w:color="auto" w:sz="8" w:space="0"/>
              <w:bottom w:val="single" w:color="auto"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10</w:t>
            </w:r>
          </w:p>
        </w:tc>
        <w:tc>
          <w:tcPr>
            <w:tcW w:w="1168" w:type="dxa"/>
            <w:vMerge w:val="continue"/>
            <w:tcBorders>
              <w:left w:val="single" w:color="000000" w:sz="4" w:space="0"/>
              <w:bottom w:val="single" w:color="auto"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生产主计划变更信息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项目名称、客户、订单号、行号、产品代码、产品名称、数量、浇注重量、毛坯重量、净重、图号、材质、牌号、物料规格、产品分类、单箱件数、版本、工作中心、交货时间等</w:t>
            </w:r>
          </w:p>
        </w:tc>
      </w:tr>
      <w:tr>
        <w:tblPrEx>
          <w:tblCellMar>
            <w:top w:w="0" w:type="dxa"/>
            <w:left w:w="108" w:type="dxa"/>
            <w:bottom w:w="0" w:type="dxa"/>
            <w:right w:w="108" w:type="dxa"/>
          </w:tblCellMar>
        </w:tblPrEx>
        <w:trPr>
          <w:trHeight w:val="840" w:hRule="atLeast"/>
        </w:trPr>
        <w:tc>
          <w:tcPr>
            <w:tcW w:w="60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11</w:t>
            </w: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发货计划信息</w:t>
            </w:r>
          </w:p>
        </w:tc>
        <w:tc>
          <w:tcPr>
            <w:tcW w:w="6129" w:type="dxa"/>
            <w:tcBorders>
              <w:top w:val="single" w:color="000000" w:sz="4" w:space="0"/>
              <w:left w:val="single" w:color="auto"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发货计划号、产品代码、产品名称、产品数量、客户信息、交货时间、计量单位等</w:t>
            </w:r>
          </w:p>
        </w:tc>
      </w:tr>
      <w:tr>
        <w:tblPrEx>
          <w:tblCellMar>
            <w:top w:w="0" w:type="dxa"/>
            <w:left w:w="108" w:type="dxa"/>
            <w:bottom w:w="0" w:type="dxa"/>
            <w:right w:w="108" w:type="dxa"/>
          </w:tblCellMar>
        </w:tblPrEx>
        <w:trPr>
          <w:trHeight w:val="1120" w:hRule="atLeast"/>
        </w:trPr>
        <w:tc>
          <w:tcPr>
            <w:tcW w:w="60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12</w:t>
            </w: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发货计划变更信息</w:t>
            </w:r>
          </w:p>
        </w:tc>
        <w:tc>
          <w:tcPr>
            <w:tcW w:w="6129" w:type="dxa"/>
            <w:tcBorders>
              <w:top w:val="single" w:color="000000" w:sz="4" w:space="0"/>
              <w:left w:val="single" w:color="auto"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szCs w:val="18"/>
              </w:rPr>
            </w:pPr>
            <w:r>
              <w:rPr>
                <w:rFonts w:hint="eastAsia" w:ascii="宋体" w:hAnsi="宋体" w:cs="宋体"/>
                <w:szCs w:val="18"/>
              </w:rPr>
              <w:t>发货计划号、产品代码、产品名称、产品数量、请求内容、请求时间、变更原因等</w:t>
            </w:r>
          </w:p>
        </w:tc>
      </w:tr>
      <w:tr>
        <w:tblPrEx>
          <w:tblCellMar>
            <w:top w:w="0" w:type="dxa"/>
            <w:left w:w="108" w:type="dxa"/>
            <w:bottom w:w="0" w:type="dxa"/>
            <w:right w:w="108" w:type="dxa"/>
          </w:tblCellMar>
        </w:tblPrEx>
        <w:trPr>
          <w:trHeight w:val="840" w:hRule="atLeast"/>
        </w:trPr>
        <w:tc>
          <w:tcPr>
            <w:tcW w:w="606" w:type="dxa"/>
            <w:tcBorders>
              <w:top w:val="single" w:color="auto"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13</w:t>
            </w:r>
          </w:p>
        </w:tc>
        <w:tc>
          <w:tcPr>
            <w:tcW w:w="1168" w:type="dxa"/>
            <w:vMerge w:val="continue"/>
            <w:tcBorders>
              <w:top w:val="single" w:color="auto" w:sz="4" w:space="0"/>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生产准备计划</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kern w:val="2"/>
                <w:szCs w:val="18"/>
              </w:rPr>
            </w:pPr>
            <w:r>
              <w:rPr>
                <w:rFonts w:hint="eastAsia" w:ascii="宋体" w:hAnsi="宋体" w:cs="宋体"/>
                <w:kern w:val="2"/>
                <w:szCs w:val="18"/>
              </w:rPr>
              <w:t>产品代码、产品名称、物料规格、库存数量、计量单位等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14</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设备及生产辅具台账信息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kern w:val="2"/>
                <w:szCs w:val="18"/>
              </w:rPr>
            </w:pPr>
            <w:r>
              <w:rPr>
                <w:rFonts w:hint="eastAsia" w:ascii="宋体" w:hAnsi="宋体" w:cs="宋体"/>
                <w:kern w:val="2"/>
                <w:szCs w:val="18"/>
              </w:rPr>
              <w:t>编码、名称、分类、位置、规格型号、厂商、所属车间、所属工序、数量等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15</w:t>
            </w:r>
          </w:p>
        </w:tc>
        <w:tc>
          <w:tcPr>
            <w:tcW w:w="1168" w:type="dxa"/>
            <w:vMerge w:val="continue"/>
            <w:tcBorders>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备品备件台账信息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keepNext w:val="0"/>
              <w:keepLines w:val="0"/>
              <w:pageBreakBefore w:val="0"/>
              <w:kinsoku/>
              <w:wordWrap/>
              <w:overflowPunct/>
              <w:topLinePunct w:val="0"/>
              <w:bidi w:val="0"/>
              <w:snapToGrid/>
              <w:spacing w:line="300" w:lineRule="exact"/>
              <w:jc w:val="left"/>
              <w:textAlignment w:val="auto"/>
              <w:rPr>
                <w:rFonts w:ascii="宋体" w:hAnsi="宋体" w:cs="宋体"/>
                <w:kern w:val="2"/>
                <w:szCs w:val="18"/>
              </w:rPr>
            </w:pPr>
            <w:r>
              <w:rPr>
                <w:rFonts w:hint="eastAsia" w:ascii="宋体" w:hAnsi="宋体" w:cs="宋体"/>
                <w:kern w:val="2"/>
                <w:szCs w:val="18"/>
              </w:rPr>
              <w:t>编码、名称、库存位置、库存数量、使用期限、库存警戒、供货产商、厂商地址、厂商电话、厂商邮箱等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16</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计划执行汇报</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工序开工汇报信息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订单号、行号、产品代码、产品名称、工序编码、工序名称、材质、图号、版本、牌号、铸件号、加工设备、数量、重量、实际开工时间、操作人等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17</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工序完工汇报信息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订单号、行号、产品代码、产品名称、工序编码、工序名称、材质、图号、版本、牌号、铸件号、加工设备、数量、重量、实际完工时间、参与人、操作人等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18</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工序不合格汇报信息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工序编码、工序名称、材质、图号、版本、牌号、铸件号、加工设备、数量、重量、实际完工时间、参与人、责任部门、责任班组、责任人、不合格类型、不合格原因、操作人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19</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不合格整改返回信息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订单号、行号、产品代码、产品名称、材质、图号、版本、牌号、铸件号、整改时间、整改结论、整改图片等</w:t>
            </w:r>
          </w:p>
        </w:tc>
      </w:tr>
      <w:tr>
        <w:tblPrEx>
          <w:tblCellMar>
            <w:top w:w="0" w:type="dxa"/>
            <w:left w:w="108" w:type="dxa"/>
            <w:bottom w:w="0" w:type="dxa"/>
            <w:right w:w="108" w:type="dxa"/>
          </w:tblCellMar>
        </w:tblPrEx>
        <w:trPr>
          <w:trHeight w:val="112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20</w:t>
            </w:r>
          </w:p>
        </w:tc>
        <w:tc>
          <w:tcPr>
            <w:tcW w:w="1168" w:type="dxa"/>
            <w:vMerge w:val="continue"/>
            <w:tcBorders>
              <w:left w:val="single" w:color="000000"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统计分析信息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订单号、行号、产品代码、产品名称、材质、图号、牌号、版本、工序编码、工序名称、工作中心、合格数量、报废数量、返修数量、开工时间、完工时间、执行班组、报工人、参与人等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21</w:t>
            </w:r>
          </w:p>
        </w:tc>
        <w:tc>
          <w:tcPr>
            <w:tcW w:w="1168" w:type="dxa"/>
            <w:vMerge w:val="continue"/>
            <w:tcBorders>
              <w:left w:val="single" w:color="000000"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生产工序反写上层系统信息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订单号、行号、产品代码、产品名称、铸件号、生产车间、执行班组、参与人、报工人、数量、材质、实际开始时间、实际完成时间等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22</w:t>
            </w:r>
          </w:p>
        </w:tc>
        <w:tc>
          <w:tcPr>
            <w:tcW w:w="1168" w:type="dxa"/>
            <w:vMerge w:val="continue"/>
            <w:tcBorders>
              <w:left w:val="single" w:color="000000"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报废反写上层系统信息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订单号、行号、产品代码、产品名称、铸件号、责任部门、责任班组、责任人、汇报时间、结论等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auto"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23</w:t>
            </w:r>
          </w:p>
        </w:tc>
        <w:tc>
          <w:tcPr>
            <w:tcW w:w="1168" w:type="dxa"/>
            <w:vMerge w:val="continue"/>
            <w:tcBorders>
              <w:left w:val="single" w:color="000000" w:sz="4" w:space="0"/>
              <w:bottom w:val="single" w:color="auto"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原辅材料出库信息</w:t>
            </w:r>
          </w:p>
        </w:tc>
        <w:tc>
          <w:tcPr>
            <w:tcW w:w="6129" w:type="dxa"/>
            <w:tcBorders>
              <w:top w:val="single" w:color="000000" w:sz="4" w:space="0"/>
              <w:left w:val="single" w:color="000000" w:sz="4" w:space="0"/>
              <w:bottom w:val="single" w:color="auto"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订单号、行号、产品代码、产品名称、数量、计量单位、出库时间、出库人</w:t>
            </w:r>
          </w:p>
        </w:tc>
      </w:tr>
      <w:tr>
        <w:tblPrEx>
          <w:tblCellMar>
            <w:top w:w="0" w:type="dxa"/>
            <w:left w:w="108" w:type="dxa"/>
            <w:bottom w:w="0" w:type="dxa"/>
            <w:right w:w="108" w:type="dxa"/>
          </w:tblCellMar>
        </w:tblPrEx>
        <w:trPr>
          <w:trHeight w:val="440" w:hRule="atLeast"/>
        </w:trPr>
        <w:tc>
          <w:tcPr>
            <w:tcW w:w="60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24</w:t>
            </w: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毛坯入库信息</w:t>
            </w:r>
          </w:p>
        </w:tc>
        <w:tc>
          <w:tcPr>
            <w:tcW w:w="6129" w:type="dxa"/>
            <w:tcBorders>
              <w:top w:val="single" w:color="auto" w:sz="4" w:space="0"/>
              <w:left w:val="single" w:color="auto" w:sz="4" w:space="0"/>
              <w:bottom w:val="single" w:color="auto"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订单号、行号、产品代码、产品名称、铸件号、生产车间、执行班组、参与人、报工人、入库人、数量、材质、入库时间等</w:t>
            </w:r>
          </w:p>
        </w:tc>
      </w:tr>
      <w:tr>
        <w:tblPrEx>
          <w:tblCellMar>
            <w:top w:w="0" w:type="dxa"/>
            <w:left w:w="108" w:type="dxa"/>
            <w:bottom w:w="0" w:type="dxa"/>
            <w:right w:w="108" w:type="dxa"/>
          </w:tblCellMar>
        </w:tblPrEx>
        <w:trPr>
          <w:trHeight w:val="730" w:hRule="atLeast"/>
        </w:trPr>
        <w:tc>
          <w:tcPr>
            <w:tcW w:w="606" w:type="dxa"/>
            <w:tcBorders>
              <w:top w:val="single" w:color="auto"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25</w:t>
            </w:r>
          </w:p>
        </w:tc>
        <w:tc>
          <w:tcPr>
            <w:tcW w:w="1168" w:type="dxa"/>
            <w:vMerge w:val="continue"/>
            <w:tcBorders>
              <w:top w:val="single" w:color="auto" w:sz="4" w:space="0"/>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成品入库信息</w:t>
            </w:r>
          </w:p>
        </w:tc>
        <w:tc>
          <w:tcPr>
            <w:tcW w:w="6129" w:type="dxa"/>
            <w:tcBorders>
              <w:top w:val="single" w:color="auto"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订单号、行号、产品代码、产品名称、装箱号、数量、铸件号、汇报人、入库人、入库时间等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26</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毛坯发货信息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发货单号、产品代码、产品名称、数量、客户信息、材质、铸件号等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27</w:t>
            </w:r>
          </w:p>
        </w:tc>
        <w:tc>
          <w:tcPr>
            <w:tcW w:w="1168" w:type="dxa"/>
            <w:vMerge w:val="continue"/>
            <w:tcBorders>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成品发货信息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发货单号、产品代码、产品名称、装箱号、数量、客户信息、材质等</w:t>
            </w:r>
          </w:p>
        </w:tc>
      </w:tr>
      <w:tr>
        <w:tblPrEx>
          <w:tblCellMar>
            <w:top w:w="0" w:type="dxa"/>
            <w:left w:w="108" w:type="dxa"/>
            <w:bottom w:w="0" w:type="dxa"/>
            <w:right w:w="108" w:type="dxa"/>
          </w:tblCellMar>
        </w:tblPrEx>
        <w:trPr>
          <w:trHeight w:val="112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28</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汇总展示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生产主计划信息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项目名称、客户、订单号、行号、产品代码、产品名称、数量、浇注重量、毛坯重量、净重、图号、材质、牌号、物料规格、产品分类、单箱件数、版本、工作中心、交货时间等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29</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生产工序汇报信息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订单号、行号、产品代码、产品名称、铸件号、生产车间、执行班组、参与人、报工人、数量、材质、实际开始时间、实际完成时间等</w:t>
            </w:r>
          </w:p>
        </w:tc>
      </w:tr>
      <w:tr>
        <w:tblPrEx>
          <w:tblCellMar>
            <w:top w:w="0" w:type="dxa"/>
            <w:left w:w="108" w:type="dxa"/>
            <w:bottom w:w="0" w:type="dxa"/>
            <w:right w:w="108" w:type="dxa"/>
          </w:tblCellMar>
        </w:tblPrEx>
        <w:trPr>
          <w:trHeight w:val="88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30</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工序质量信息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工作中心、标准工序码、工序名称、质量类型代码、质量类型、数量、重量、材质、图号等</w:t>
            </w:r>
          </w:p>
        </w:tc>
      </w:tr>
      <w:tr>
        <w:tblPrEx>
          <w:tblCellMar>
            <w:top w:w="0" w:type="dxa"/>
            <w:left w:w="108" w:type="dxa"/>
            <w:bottom w:w="0" w:type="dxa"/>
            <w:right w:w="108" w:type="dxa"/>
          </w:tblCellMar>
        </w:tblPrEx>
        <w:trPr>
          <w:trHeight w:val="87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31</w:t>
            </w:r>
          </w:p>
        </w:tc>
        <w:tc>
          <w:tcPr>
            <w:tcW w:w="1168" w:type="dxa"/>
            <w:vMerge w:val="continue"/>
            <w:tcBorders>
              <w:left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产品质量信息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项目、客户、产品代码、产品名称、图号、材质、牌号、标准工序码、工序名称、质量类型、数量、重量等</w:t>
            </w:r>
          </w:p>
        </w:tc>
      </w:tr>
      <w:tr>
        <w:tblPrEx>
          <w:tblCellMar>
            <w:top w:w="0" w:type="dxa"/>
            <w:left w:w="108" w:type="dxa"/>
            <w:bottom w:w="0" w:type="dxa"/>
            <w:right w:w="108" w:type="dxa"/>
          </w:tblCellMar>
        </w:tblPrEx>
        <w:trPr>
          <w:trHeight w:val="87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32</w:t>
            </w:r>
          </w:p>
        </w:tc>
        <w:tc>
          <w:tcPr>
            <w:tcW w:w="1168" w:type="dxa"/>
            <w:vMerge w:val="continue"/>
            <w:tcBorders>
              <w:left w:val="single" w:color="000000"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质量整改信息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质量类型代码、质量类型、工作中心、责任班组、责任人、整改进度、描述、预防措施、整改方案等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33</w:t>
            </w:r>
          </w:p>
        </w:tc>
        <w:tc>
          <w:tcPr>
            <w:tcW w:w="1168" w:type="dxa"/>
            <w:vMerge w:val="continue"/>
            <w:tcBorders>
              <w:left w:val="single" w:color="000000"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工序质量信息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工作中心、标准工序码、工序名称、质量类型代码、质量类型、数量、重量、材质、图号等</w:t>
            </w:r>
          </w:p>
        </w:tc>
      </w:tr>
      <w:tr>
        <w:tblPrEx>
          <w:tblCellMar>
            <w:top w:w="0" w:type="dxa"/>
            <w:left w:w="108" w:type="dxa"/>
            <w:bottom w:w="0" w:type="dxa"/>
            <w:right w:w="108" w:type="dxa"/>
          </w:tblCellMar>
        </w:tblPrEx>
        <w:trPr>
          <w:trHeight w:val="90" w:hRule="atLeast"/>
        </w:trPr>
        <w:tc>
          <w:tcPr>
            <w:tcW w:w="606"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34</w:t>
            </w:r>
          </w:p>
        </w:tc>
        <w:tc>
          <w:tcPr>
            <w:tcW w:w="1168" w:type="dxa"/>
            <w:vMerge w:val="continue"/>
            <w:tcBorders>
              <w:left w:val="single" w:color="000000"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产品质量信息</w:t>
            </w:r>
          </w:p>
        </w:tc>
        <w:tc>
          <w:tcPr>
            <w:tcW w:w="6129" w:type="dxa"/>
            <w:tcBorders>
              <w:top w:val="single" w:color="000000" w:sz="4" w:space="0"/>
              <w:left w:val="single" w:color="000000" w:sz="4" w:space="0"/>
              <w:bottom w:val="single" w:color="000000"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项目、客户、产品代码、产品名称、图号、材质、牌号、标准工序码、工序名称、质量类型、数量、重量等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auto" w:sz="8" w:space="0"/>
              <w:bottom w:val="single" w:color="auto"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35</w:t>
            </w:r>
          </w:p>
        </w:tc>
        <w:tc>
          <w:tcPr>
            <w:tcW w:w="1168" w:type="dxa"/>
            <w:vMerge w:val="continue"/>
            <w:tcBorders>
              <w:left w:val="single" w:color="000000" w:sz="4" w:space="0"/>
              <w:bottom w:val="single" w:color="auto" w:sz="4"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质量整改信息</w:t>
            </w:r>
          </w:p>
        </w:tc>
        <w:tc>
          <w:tcPr>
            <w:tcW w:w="6129" w:type="dxa"/>
            <w:tcBorders>
              <w:top w:val="single" w:color="000000" w:sz="4" w:space="0"/>
              <w:left w:val="single" w:color="000000" w:sz="4" w:space="0"/>
              <w:bottom w:val="single" w:color="auto"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质量类型代码、质量类型、工作中心、责任班组、责任人、整改进度、描述、预防措施、整改方案等</w:t>
            </w:r>
          </w:p>
        </w:tc>
      </w:tr>
      <w:tr>
        <w:tblPrEx>
          <w:tblCellMar>
            <w:top w:w="0" w:type="dxa"/>
            <w:left w:w="108" w:type="dxa"/>
            <w:bottom w:w="0" w:type="dxa"/>
            <w:right w:w="108" w:type="dxa"/>
          </w:tblCellMar>
        </w:tblPrEx>
        <w:trPr>
          <w:trHeight w:val="560" w:hRule="atLeast"/>
        </w:trPr>
        <w:tc>
          <w:tcPr>
            <w:tcW w:w="606"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36</w:t>
            </w: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销售主计划信息</w:t>
            </w:r>
          </w:p>
        </w:tc>
        <w:tc>
          <w:tcPr>
            <w:tcW w:w="6129" w:type="dxa"/>
            <w:tcBorders>
              <w:top w:val="single" w:color="auto" w:sz="4" w:space="0"/>
              <w:left w:val="single" w:color="auto" w:sz="4" w:space="0"/>
              <w:bottom w:val="single" w:color="auto" w:sz="4"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订单号，订单状态，交货订单数量，交货订单重量，项目名称、客户、订单号、行号、产品代码、产品名称、数量、浇注重量、毛坯重量、净重、图号、材质、牌号、物料规格、产品分类、单箱件数、版本、工作中心、交货时间等</w:t>
            </w:r>
          </w:p>
        </w:tc>
      </w:tr>
      <w:tr>
        <w:tblPrEx>
          <w:tblCellMar>
            <w:top w:w="0" w:type="dxa"/>
            <w:left w:w="108" w:type="dxa"/>
            <w:bottom w:w="0" w:type="dxa"/>
            <w:right w:w="108" w:type="dxa"/>
          </w:tblCellMar>
        </w:tblPrEx>
        <w:trPr>
          <w:trHeight w:val="675" w:hRule="atLeast"/>
        </w:trPr>
        <w:tc>
          <w:tcPr>
            <w:tcW w:w="606" w:type="dxa"/>
            <w:tcBorders>
              <w:top w:val="single" w:color="auto" w:sz="4" w:space="0"/>
              <w:left w:val="single" w:color="auto" w:sz="8" w:space="0"/>
              <w:bottom w:val="single" w:color="000000" w:sz="8"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37</w:t>
            </w:r>
          </w:p>
        </w:tc>
        <w:tc>
          <w:tcPr>
            <w:tcW w:w="1168" w:type="dxa"/>
            <w:vMerge w:val="continue"/>
            <w:tcBorders>
              <w:top w:val="single" w:color="auto" w:sz="4" w:space="0"/>
              <w:left w:val="single" w:color="000000" w:sz="4" w:space="0"/>
              <w:bottom w:val="single" w:color="000000" w:sz="8" w:space="0"/>
              <w:right w:val="single" w:color="000000" w:sz="4" w:space="0"/>
            </w:tcBorders>
            <w:shd w:val="clear" w:color="auto" w:fill="auto"/>
            <w:noWrap/>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p>
        </w:tc>
        <w:tc>
          <w:tcPr>
            <w:tcW w:w="1350" w:type="dxa"/>
            <w:tcBorders>
              <w:top w:val="single" w:color="auto" w:sz="4" w:space="0"/>
              <w:left w:val="single" w:color="000000" w:sz="4" w:space="0"/>
              <w:bottom w:val="single" w:color="000000" w:sz="8" w:space="0"/>
              <w:right w:val="single" w:color="000000" w:sz="4" w:space="0"/>
            </w:tcBorders>
            <w:shd w:val="clear" w:color="auto" w:fill="auto"/>
            <w:vAlign w:val="center"/>
          </w:tcPr>
          <w:p>
            <w:pPr>
              <w:pStyle w:val="180"/>
              <w:keepNext w:val="0"/>
              <w:keepLines w:val="0"/>
              <w:pageBreakBefore w:val="0"/>
              <w:kinsoku/>
              <w:wordWrap/>
              <w:overflowPunct/>
              <w:topLinePunct w:val="0"/>
              <w:bidi w:val="0"/>
              <w:snapToGrid/>
              <w:spacing w:line="300" w:lineRule="exact"/>
              <w:textAlignment w:val="auto"/>
              <w:rPr>
                <w:rFonts w:ascii="宋体" w:hAnsi="宋体" w:cs="宋体"/>
                <w:szCs w:val="18"/>
              </w:rPr>
            </w:pPr>
            <w:r>
              <w:rPr>
                <w:rFonts w:hint="eastAsia" w:ascii="宋体" w:hAnsi="宋体" w:cs="宋体"/>
                <w:szCs w:val="18"/>
              </w:rPr>
              <w:t>销售交货信息</w:t>
            </w:r>
          </w:p>
        </w:tc>
        <w:tc>
          <w:tcPr>
            <w:tcW w:w="6129" w:type="dxa"/>
            <w:tcBorders>
              <w:top w:val="single" w:color="auto" w:sz="4" w:space="0"/>
              <w:left w:val="single" w:color="000000" w:sz="4" w:space="0"/>
              <w:bottom w:val="single" w:color="000000" w:sz="8" w:space="0"/>
              <w:right w:val="single" w:color="auto" w:sz="8" w:space="0"/>
            </w:tcBorders>
            <w:shd w:val="clear" w:color="auto" w:fill="auto"/>
          </w:tcPr>
          <w:p>
            <w:pPr>
              <w:keepNext w:val="0"/>
              <w:keepLines w:val="0"/>
              <w:pageBreakBefore w:val="0"/>
              <w:kinsoku/>
              <w:wordWrap/>
              <w:overflowPunct/>
              <w:topLinePunct w:val="0"/>
              <w:bidi w:val="0"/>
              <w:snapToGrid/>
              <w:spacing w:line="300" w:lineRule="exact"/>
              <w:textAlignment w:val="auto"/>
              <w:rPr>
                <w:rFonts w:ascii="宋体" w:hAnsi="宋体" w:cs="宋体"/>
                <w:sz w:val="18"/>
                <w:szCs w:val="18"/>
              </w:rPr>
            </w:pPr>
            <w:r>
              <w:rPr>
                <w:rFonts w:hint="eastAsia" w:ascii="宋体" w:hAnsi="宋体" w:cs="宋体"/>
                <w:sz w:val="18"/>
                <w:szCs w:val="18"/>
              </w:rPr>
              <w:t>销售订单总数、订单交货数量、订单在制数量、订单在制重量、本月订单交付情况等</w:t>
            </w:r>
          </w:p>
        </w:tc>
      </w:tr>
    </w:tbl>
    <w:p>
      <w:pPr>
        <w:pStyle w:val="80"/>
        <w:spacing w:before="120" w:after="120"/>
      </w:pPr>
      <w:r>
        <w:rPr>
          <w:rFonts w:hint="eastAsia"/>
          <w:lang w:bidi="ar"/>
        </w:rPr>
        <w:t>质量管理类接口信息的字段</w:t>
      </w:r>
    </w:p>
    <w:p>
      <w:pPr>
        <w:pStyle w:val="58"/>
        <w:ind w:firstLine="420"/>
      </w:pPr>
      <w:r>
        <w:rPr>
          <w:rFonts w:hint="eastAsia"/>
        </w:rPr>
        <w:t>质量管理类接口信息对产品生产全周期质量管控，当产品不合格时，选择不合格类型及原因进行记录并推送审批，实现质量问题的跟踪、纠正和追溯。质量管理类接口信息的字段如表A.2。</w:t>
      </w:r>
    </w:p>
    <w:p>
      <w:pPr>
        <w:pStyle w:val="58"/>
        <w:ind w:firstLine="420"/>
      </w:pPr>
    </w:p>
    <w:p>
      <w:pPr>
        <w:pStyle w:val="79"/>
        <w:spacing w:before="120" w:after="120"/>
      </w:pPr>
      <w:r>
        <w:rPr>
          <w:rFonts w:hint="eastAsia"/>
          <w:lang w:bidi="ar"/>
        </w:rPr>
        <w:t>质量管理类接口信息的字段</w:t>
      </w:r>
    </w:p>
    <w:tbl>
      <w:tblPr>
        <w:tblStyle w:val="27"/>
        <w:tblW w:w="9253" w:type="dxa"/>
        <w:tblInd w:w="98" w:type="dxa"/>
        <w:tblLayout w:type="fixed"/>
        <w:tblCellMar>
          <w:top w:w="0" w:type="dxa"/>
          <w:left w:w="108" w:type="dxa"/>
          <w:bottom w:w="0" w:type="dxa"/>
          <w:right w:w="108" w:type="dxa"/>
        </w:tblCellMar>
      </w:tblPr>
      <w:tblGrid>
        <w:gridCol w:w="606"/>
        <w:gridCol w:w="1168"/>
        <w:gridCol w:w="1575"/>
        <w:gridCol w:w="5904"/>
      </w:tblGrid>
      <w:tr>
        <w:tblPrEx>
          <w:tblCellMar>
            <w:top w:w="0" w:type="dxa"/>
            <w:left w:w="108" w:type="dxa"/>
            <w:bottom w:w="0" w:type="dxa"/>
            <w:right w:w="108" w:type="dxa"/>
          </w:tblCellMar>
        </w:tblPrEx>
        <w:trPr>
          <w:trHeight w:val="280" w:hRule="atLeast"/>
          <w:tblHeader/>
        </w:trPr>
        <w:tc>
          <w:tcPr>
            <w:tcW w:w="606" w:type="dxa"/>
            <w:tcBorders>
              <w:top w:val="single" w:color="000000" w:sz="8"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w:t>
            </w:r>
          </w:p>
        </w:tc>
        <w:tc>
          <w:tcPr>
            <w:tcW w:w="1168" w:type="dxa"/>
            <w:tcBorders>
              <w:top w:val="single" w:color="000000" w:sz="8"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字段类型</w:t>
            </w:r>
          </w:p>
        </w:tc>
        <w:tc>
          <w:tcPr>
            <w:tcW w:w="1575" w:type="dxa"/>
            <w:tcBorders>
              <w:top w:val="single" w:color="000000" w:sz="8"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字段属性</w:t>
            </w:r>
          </w:p>
        </w:tc>
        <w:tc>
          <w:tcPr>
            <w:tcW w:w="5904" w:type="dxa"/>
            <w:tcBorders>
              <w:top w:val="single" w:color="000000" w:sz="8"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字段名称</w:t>
            </w:r>
          </w:p>
        </w:tc>
      </w:tr>
      <w:tr>
        <w:tblPrEx>
          <w:tblCellMar>
            <w:top w:w="0" w:type="dxa"/>
            <w:left w:w="108" w:type="dxa"/>
            <w:bottom w:w="0" w:type="dxa"/>
            <w:right w:w="108" w:type="dxa"/>
          </w:tblCellMar>
        </w:tblPrEx>
        <w:trPr>
          <w:trHeight w:val="28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不合格管理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不合格类型信息</w:t>
            </w:r>
          </w:p>
        </w:tc>
        <w:tc>
          <w:tcPr>
            <w:tcW w:w="5904" w:type="dxa"/>
            <w:tcBorders>
              <w:top w:val="single" w:color="000000" w:sz="4" w:space="0"/>
              <w:left w:val="single" w:color="000000" w:sz="4" w:space="0"/>
              <w:bottom w:val="single" w:color="000000"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所属工序、类型编码、类型名称、类型创建人、类型创建时间等</w:t>
            </w:r>
          </w:p>
        </w:tc>
      </w:tr>
      <w:tr>
        <w:tblPrEx>
          <w:tblCellMar>
            <w:top w:w="0" w:type="dxa"/>
            <w:left w:w="108" w:type="dxa"/>
            <w:bottom w:w="0" w:type="dxa"/>
            <w:right w:w="108" w:type="dxa"/>
          </w:tblCellMar>
        </w:tblPrEx>
        <w:trPr>
          <w:trHeight w:val="28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p>
        </w:tc>
        <w:tc>
          <w:tcPr>
            <w:tcW w:w="1168" w:type="dxa"/>
            <w:vMerge w:val="continue"/>
            <w:tcBorders>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不合格原因信息</w:t>
            </w:r>
          </w:p>
        </w:tc>
        <w:tc>
          <w:tcPr>
            <w:tcW w:w="5904" w:type="dxa"/>
            <w:tcBorders>
              <w:top w:val="single" w:color="000000" w:sz="4" w:space="0"/>
              <w:left w:val="single" w:color="000000" w:sz="4" w:space="0"/>
              <w:bottom w:val="single" w:color="000000"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所属工序、原因编码、原因名称、原因创建人、原因创建时间等</w:t>
            </w:r>
          </w:p>
        </w:tc>
      </w:tr>
      <w:tr>
        <w:tblPrEx>
          <w:tblCellMar>
            <w:top w:w="0" w:type="dxa"/>
            <w:left w:w="108" w:type="dxa"/>
            <w:bottom w:w="0" w:type="dxa"/>
            <w:right w:w="108" w:type="dxa"/>
          </w:tblCellMar>
        </w:tblPrEx>
        <w:trPr>
          <w:trHeight w:val="28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质量审批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质量审批任务信息</w:t>
            </w:r>
          </w:p>
        </w:tc>
        <w:tc>
          <w:tcPr>
            <w:tcW w:w="5904" w:type="dxa"/>
            <w:tcBorders>
              <w:top w:val="single" w:color="000000" w:sz="4" w:space="0"/>
              <w:left w:val="single" w:color="000000" w:sz="4" w:space="0"/>
              <w:bottom w:val="single" w:color="000000"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产品代码、产品名称、铸件号、工序名称、工序代码、任务类型、不合格类型、不合格原因、数量、申请时间、审批时间、审批级别、审批状态、审批结论等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4</w:t>
            </w:r>
          </w:p>
        </w:tc>
        <w:tc>
          <w:tcPr>
            <w:tcW w:w="1168" w:type="dxa"/>
            <w:vMerge w:val="continue"/>
            <w:tcBorders>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审批结论信息</w:t>
            </w:r>
          </w:p>
        </w:tc>
        <w:tc>
          <w:tcPr>
            <w:tcW w:w="5904" w:type="dxa"/>
            <w:tcBorders>
              <w:top w:val="single" w:color="000000" w:sz="4" w:space="0"/>
              <w:left w:val="single" w:color="000000" w:sz="4" w:space="0"/>
              <w:bottom w:val="single" w:color="000000"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合格、报废、返修、SDR、附件、选择审批级别、审批附件、注意事项等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5</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质量追溯、质量闭环及质量知识库</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质量追溯信息</w:t>
            </w:r>
          </w:p>
        </w:tc>
        <w:tc>
          <w:tcPr>
            <w:tcW w:w="5904" w:type="dxa"/>
            <w:tcBorders>
              <w:top w:val="single" w:color="000000" w:sz="4" w:space="0"/>
              <w:left w:val="single" w:color="000000" w:sz="4" w:space="0"/>
              <w:bottom w:val="single" w:color="000000"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产品代码、产品名称、铸件号、工序名称、工序代码、数量、重量、班组、汇报人、汇报时间、审批时间、审批人、结论、不合格类型、不合格原因等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6</w:t>
            </w:r>
          </w:p>
        </w:tc>
        <w:tc>
          <w:tcPr>
            <w:tcW w:w="116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质量闭环</w:t>
            </w:r>
          </w:p>
        </w:tc>
        <w:tc>
          <w:tcPr>
            <w:tcW w:w="5904" w:type="dxa"/>
            <w:tcBorders>
              <w:top w:val="single" w:color="000000" w:sz="4" w:space="0"/>
              <w:left w:val="single" w:color="000000" w:sz="4" w:space="0"/>
              <w:bottom w:val="single" w:color="000000"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产品代码、产品名称、铸件号、工序代码、工序名称、质量代码、不合格类型、不合格原因、纠正措施、预防措施、责任班组、报废金额、扣款金额、责任人等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7</w:t>
            </w:r>
          </w:p>
        </w:tc>
        <w:tc>
          <w:tcPr>
            <w:tcW w:w="1168" w:type="dxa"/>
            <w:vMerge w:val="continue"/>
            <w:tcBorders>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质量知识库信息</w:t>
            </w:r>
          </w:p>
        </w:tc>
        <w:tc>
          <w:tcPr>
            <w:tcW w:w="5904" w:type="dxa"/>
            <w:tcBorders>
              <w:top w:val="single" w:color="000000" w:sz="4" w:space="0"/>
              <w:left w:val="single" w:color="000000" w:sz="4" w:space="0"/>
              <w:bottom w:val="single" w:color="auto"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质量代码、产品代码、产品名称、工序代码、工序名称、不合格类型、不合格原因、纠正措施、预防措施等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8</w:t>
            </w:r>
          </w:p>
        </w:tc>
        <w:tc>
          <w:tcPr>
            <w:tcW w:w="11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质量检验</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原辅材料检测信息</w:t>
            </w:r>
          </w:p>
        </w:tc>
        <w:tc>
          <w:tcPr>
            <w:tcW w:w="5904" w:type="dxa"/>
            <w:tcBorders>
              <w:top w:val="single" w:color="auto" w:sz="4" w:space="0"/>
              <w:left w:val="single" w:color="auto" w:sz="4" w:space="0"/>
              <w:bottom w:val="single" w:color="auto"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原辅材料检验单、外观要求、尺寸要求、物理机械性能要求等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9</w:t>
            </w: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力学性能检测信息</w:t>
            </w:r>
          </w:p>
        </w:tc>
        <w:tc>
          <w:tcPr>
            <w:tcW w:w="5904" w:type="dxa"/>
            <w:tcBorders>
              <w:top w:val="single" w:color="auto" w:sz="4" w:space="0"/>
              <w:left w:val="single" w:color="auto" w:sz="4" w:space="0"/>
              <w:bottom w:val="single" w:color="auto"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炉次、产品代码、数量、产品名称、图号、工厂、铸件号、工序信息、检测要求、项目名称、顾客标准、内控标准、实测值、单项结论等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10</w:t>
            </w:r>
          </w:p>
        </w:tc>
        <w:tc>
          <w:tcPr>
            <w:tcW w:w="1168" w:type="dxa"/>
            <w:vMerge w:val="continue"/>
            <w:tcBorders>
              <w:top w:val="single" w:color="auto" w:sz="4" w:space="0"/>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无损检测信息</w:t>
            </w:r>
          </w:p>
        </w:tc>
        <w:tc>
          <w:tcPr>
            <w:tcW w:w="5904" w:type="dxa"/>
            <w:tcBorders>
              <w:top w:val="single" w:color="auto" w:sz="4" w:space="0"/>
              <w:left w:val="single" w:color="000000" w:sz="4" w:space="0"/>
              <w:bottom w:val="single" w:color="000000"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UT记录要求、MT记录要求、PT记录要求、备注、炉次、产品代码、数量、产品名称、图号、工厂、铸件号、工序信息、熔炼浇注记录、生产订单号、行号、产品代码、产品名称、图号、数量、工厂等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11</w:t>
            </w:r>
          </w:p>
        </w:tc>
        <w:tc>
          <w:tcPr>
            <w:tcW w:w="116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尺寸信息</w:t>
            </w:r>
          </w:p>
        </w:tc>
        <w:tc>
          <w:tcPr>
            <w:tcW w:w="5904" w:type="dxa"/>
            <w:tcBorders>
              <w:top w:val="single" w:color="000000" w:sz="4" w:space="0"/>
              <w:left w:val="single" w:color="000000" w:sz="4" w:space="0"/>
              <w:bottom w:val="single" w:color="000000"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标准值，单位，实测值，结果判定（自动）、炉次、产品代码、数量、产品名称、图号、工厂、铸件号、图纸位置、熔炼浇注记录、生产订单号、行号、产品代码、产品名称、图号、数量、工厂等</w:t>
            </w:r>
          </w:p>
        </w:tc>
      </w:tr>
      <w:tr>
        <w:tblPrEx>
          <w:tblCellMar>
            <w:top w:w="0" w:type="dxa"/>
            <w:left w:w="108" w:type="dxa"/>
            <w:bottom w:w="0" w:type="dxa"/>
            <w:right w:w="108" w:type="dxa"/>
          </w:tblCellMar>
        </w:tblPrEx>
        <w:trPr>
          <w:trHeight w:val="112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12</w:t>
            </w:r>
          </w:p>
        </w:tc>
        <w:tc>
          <w:tcPr>
            <w:tcW w:w="116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本体硬度检测信息</w:t>
            </w:r>
          </w:p>
        </w:tc>
        <w:tc>
          <w:tcPr>
            <w:tcW w:w="5904" w:type="dxa"/>
            <w:tcBorders>
              <w:top w:val="single" w:color="000000" w:sz="4" w:space="0"/>
              <w:left w:val="single" w:color="000000" w:sz="4" w:space="0"/>
              <w:bottom w:val="single" w:color="000000" w:sz="4"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标准值，单位，数量、实测值、炉次、产品代码、数量、产品名称、图号、工厂、铸件号、熔炼浇注记录、生产订单号、行号、产品代码、产品名称、图号、数量、工厂等</w:t>
            </w:r>
          </w:p>
        </w:tc>
      </w:tr>
      <w:tr>
        <w:tblPrEx>
          <w:tblCellMar>
            <w:top w:w="0" w:type="dxa"/>
            <w:left w:w="108" w:type="dxa"/>
            <w:bottom w:w="0" w:type="dxa"/>
            <w:right w:w="108" w:type="dxa"/>
          </w:tblCellMar>
        </w:tblPrEx>
        <w:trPr>
          <w:trHeight w:val="870" w:hRule="atLeast"/>
        </w:trPr>
        <w:tc>
          <w:tcPr>
            <w:tcW w:w="606" w:type="dxa"/>
            <w:tcBorders>
              <w:top w:val="single" w:color="000000" w:sz="4" w:space="0"/>
              <w:left w:val="single" w:color="000000" w:sz="8" w:space="0"/>
              <w:bottom w:val="single" w:color="000000" w:sz="8"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13</w:t>
            </w:r>
          </w:p>
        </w:tc>
        <w:tc>
          <w:tcPr>
            <w:tcW w:w="1168" w:type="dxa"/>
            <w:vMerge w:val="continue"/>
            <w:tcBorders>
              <w:left w:val="single" w:color="000000" w:sz="4" w:space="0"/>
              <w:bottom w:val="single" w:color="000000" w:sz="8"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8"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原辅材料出库信息</w:t>
            </w:r>
          </w:p>
        </w:tc>
        <w:tc>
          <w:tcPr>
            <w:tcW w:w="5904" w:type="dxa"/>
            <w:tcBorders>
              <w:top w:val="single" w:color="000000" w:sz="4" w:space="0"/>
              <w:left w:val="single" w:color="000000" w:sz="4" w:space="0"/>
              <w:bottom w:val="single" w:color="000000" w:sz="8" w:space="0"/>
              <w:right w:val="single" w:color="auto" w:sz="8" w:space="0"/>
            </w:tcBorders>
            <w:shd w:val="clear" w:color="auto" w:fill="auto"/>
          </w:tcPr>
          <w:p>
            <w:pPr>
              <w:rPr>
                <w:rFonts w:ascii="宋体" w:hAnsi="宋体" w:cs="宋体"/>
                <w:sz w:val="18"/>
                <w:szCs w:val="18"/>
              </w:rPr>
            </w:pPr>
            <w:r>
              <w:rPr>
                <w:rFonts w:hint="eastAsia" w:ascii="宋体" w:hAnsi="宋体" w:cs="宋体"/>
                <w:sz w:val="18"/>
                <w:szCs w:val="18"/>
              </w:rPr>
              <w:t>订单号、行号、产品代码、产品名称、数量、计量单位、出库时间、出库人</w:t>
            </w:r>
          </w:p>
        </w:tc>
      </w:tr>
    </w:tbl>
    <w:p>
      <w:pPr>
        <w:pStyle w:val="80"/>
        <w:spacing w:before="120" w:after="120"/>
      </w:pPr>
      <w:r>
        <w:rPr>
          <w:rFonts w:hint="eastAsia"/>
          <w:lang w:bidi="ar"/>
        </w:rPr>
        <w:t>生产辅具管理类接口信息的字段</w:t>
      </w:r>
    </w:p>
    <w:p>
      <w:pPr>
        <w:pStyle w:val="58"/>
        <w:ind w:firstLine="420"/>
      </w:pPr>
      <w:r>
        <w:rPr>
          <w:rFonts w:hint="eastAsia"/>
        </w:rPr>
        <w:t>生产辅具管理类接口信息主要包括模具库存状态及数量、生产辅具点检、生产辅具保养、生产辅具维修、生产辅具报废等，用于生产计划的编排和模具的日常运行管理，提高生产计划编排的准确性和生产辅具的使用寿命。生产辅具管理类接口信息的字段如表A.3。</w:t>
      </w:r>
    </w:p>
    <w:p>
      <w:pPr>
        <w:pStyle w:val="79"/>
        <w:spacing w:before="120" w:after="120"/>
      </w:pPr>
      <w:r>
        <w:rPr>
          <w:rFonts w:hint="eastAsia"/>
          <w:lang w:bidi="ar"/>
        </w:rPr>
        <w:t>生产辅具管理类接口信息的字段</w:t>
      </w:r>
    </w:p>
    <w:tbl>
      <w:tblPr>
        <w:tblStyle w:val="27"/>
        <w:tblW w:w="9253" w:type="dxa"/>
        <w:tblInd w:w="98" w:type="dxa"/>
        <w:tblLayout w:type="fixed"/>
        <w:tblCellMar>
          <w:top w:w="0" w:type="dxa"/>
          <w:left w:w="108" w:type="dxa"/>
          <w:bottom w:w="0" w:type="dxa"/>
          <w:right w:w="108" w:type="dxa"/>
        </w:tblCellMar>
      </w:tblPr>
      <w:tblGrid>
        <w:gridCol w:w="606"/>
        <w:gridCol w:w="1176"/>
        <w:gridCol w:w="1620"/>
        <w:gridCol w:w="5851"/>
      </w:tblGrid>
      <w:tr>
        <w:tblPrEx>
          <w:tblCellMar>
            <w:top w:w="0" w:type="dxa"/>
            <w:left w:w="108" w:type="dxa"/>
            <w:bottom w:w="0" w:type="dxa"/>
            <w:right w:w="108" w:type="dxa"/>
          </w:tblCellMar>
        </w:tblPrEx>
        <w:trPr>
          <w:trHeight w:val="280" w:hRule="atLeast"/>
          <w:tblHeader/>
        </w:trPr>
        <w:tc>
          <w:tcPr>
            <w:tcW w:w="606" w:type="dxa"/>
            <w:tcBorders>
              <w:top w:val="single" w:color="000000" w:sz="8"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w:t>
            </w:r>
          </w:p>
        </w:tc>
        <w:tc>
          <w:tcPr>
            <w:tcW w:w="1176" w:type="dxa"/>
            <w:tcBorders>
              <w:top w:val="single" w:color="000000" w:sz="8"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字段类型</w:t>
            </w:r>
          </w:p>
        </w:tc>
        <w:tc>
          <w:tcPr>
            <w:tcW w:w="1620" w:type="dxa"/>
            <w:tcBorders>
              <w:top w:val="single" w:color="000000" w:sz="8"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字段属性</w:t>
            </w:r>
          </w:p>
        </w:tc>
        <w:tc>
          <w:tcPr>
            <w:tcW w:w="5851" w:type="dxa"/>
            <w:tcBorders>
              <w:top w:val="single" w:color="000000" w:sz="8" w:space="0"/>
              <w:left w:val="single" w:color="000000"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字段名称</w:t>
            </w:r>
          </w:p>
        </w:tc>
      </w:tr>
      <w:tr>
        <w:tblPrEx>
          <w:tblCellMar>
            <w:top w:w="0" w:type="dxa"/>
            <w:left w:w="108" w:type="dxa"/>
            <w:bottom w:w="0" w:type="dxa"/>
            <w:right w:w="108" w:type="dxa"/>
          </w:tblCellMar>
        </w:tblPrEx>
        <w:trPr>
          <w:trHeight w:val="85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1</w:t>
            </w:r>
          </w:p>
        </w:tc>
        <w:tc>
          <w:tcPr>
            <w:tcW w:w="11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模具运行管理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模具台账信息</w:t>
            </w:r>
          </w:p>
        </w:tc>
        <w:tc>
          <w:tcPr>
            <w:tcW w:w="58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序号、类型编码、类型名称、数量、规格、生产厂商、库位、所属车间、实体编码、实体名称、描述等</w:t>
            </w:r>
          </w:p>
        </w:tc>
      </w:tr>
      <w:tr>
        <w:tblPrEx>
          <w:tblCellMar>
            <w:top w:w="0" w:type="dxa"/>
            <w:left w:w="108" w:type="dxa"/>
            <w:bottom w:w="0" w:type="dxa"/>
            <w:right w:w="108" w:type="dxa"/>
          </w:tblCellMar>
        </w:tblPrEx>
        <w:trPr>
          <w:trHeight w:val="9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2</w:t>
            </w: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模具入库信息</w:t>
            </w:r>
          </w:p>
        </w:tc>
        <w:tc>
          <w:tcPr>
            <w:tcW w:w="58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序号、类型编码、类型名称、数量、规格、生产厂商、库位、所属车间、实体编码、实体名称、入库时间、入库人等</w:t>
            </w:r>
          </w:p>
        </w:tc>
      </w:tr>
      <w:tr>
        <w:tblPrEx>
          <w:tblCellMar>
            <w:top w:w="0" w:type="dxa"/>
            <w:left w:w="108" w:type="dxa"/>
            <w:bottom w:w="0" w:type="dxa"/>
            <w:right w:w="108" w:type="dxa"/>
          </w:tblCellMar>
        </w:tblPrEx>
        <w:trPr>
          <w:trHeight w:val="90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p>
        </w:tc>
        <w:tc>
          <w:tcPr>
            <w:tcW w:w="1176" w:type="dxa"/>
            <w:vMerge w:val="continue"/>
            <w:tcBorders>
              <w:top w:val="single" w:color="auto" w:sz="4" w:space="0"/>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模具出库信息</w:t>
            </w:r>
          </w:p>
        </w:tc>
        <w:tc>
          <w:tcPr>
            <w:tcW w:w="5851" w:type="dxa"/>
            <w:tcBorders>
              <w:top w:val="single" w:color="auto"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序号、类型编码、类型名称、数量、规格、生产厂商、库位、所属车间、实体编码、实体名称、出库时间、领用人</w:t>
            </w:r>
          </w:p>
        </w:tc>
      </w:tr>
      <w:tr>
        <w:tblPrEx>
          <w:tblCellMar>
            <w:top w:w="0" w:type="dxa"/>
            <w:left w:w="108" w:type="dxa"/>
            <w:bottom w:w="0" w:type="dxa"/>
            <w:right w:w="108" w:type="dxa"/>
          </w:tblCellMar>
        </w:tblPrEx>
        <w:trPr>
          <w:trHeight w:val="86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4</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模具保养信息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类型编码、类型名称、实体编码、实体名称、所属车间、库位、保养内容、示例、保养频率、描述等</w:t>
            </w:r>
          </w:p>
        </w:tc>
      </w:tr>
      <w:tr>
        <w:tblPrEx>
          <w:tblCellMar>
            <w:top w:w="0" w:type="dxa"/>
            <w:left w:w="108" w:type="dxa"/>
            <w:bottom w:w="0" w:type="dxa"/>
            <w:right w:w="108" w:type="dxa"/>
          </w:tblCellMar>
        </w:tblPrEx>
        <w:trPr>
          <w:trHeight w:val="85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5</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模具保养反馈信息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类型编码、类型名称、实体编码、实体名称、所属车间、库位、保养内容、示例、照片、保养时间、汇报人等</w:t>
            </w:r>
          </w:p>
        </w:tc>
      </w:tr>
      <w:tr>
        <w:tblPrEx>
          <w:tblCellMar>
            <w:top w:w="0" w:type="dxa"/>
            <w:left w:w="108" w:type="dxa"/>
            <w:bottom w:w="0" w:type="dxa"/>
            <w:right w:w="108" w:type="dxa"/>
          </w:tblCellMar>
        </w:tblPrEx>
        <w:trPr>
          <w:trHeight w:val="93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6</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模具维修信息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类型编码、类型名称、实体编码、实体名称、所属车间、库位、维修内容、照片、维修负责人、描述等</w:t>
            </w:r>
          </w:p>
        </w:tc>
      </w:tr>
      <w:tr>
        <w:tblPrEx>
          <w:tblCellMar>
            <w:top w:w="0" w:type="dxa"/>
            <w:left w:w="108" w:type="dxa"/>
            <w:bottom w:w="0" w:type="dxa"/>
            <w:right w:w="108" w:type="dxa"/>
          </w:tblCellMar>
        </w:tblPrEx>
        <w:trPr>
          <w:trHeight w:val="86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7</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模具维修反馈信息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类型编码、类型名称、实体编码、实体名称、所属车间、库位、维修内容、照片、维修时间、汇报人、描述等</w:t>
            </w:r>
          </w:p>
        </w:tc>
      </w:tr>
      <w:tr>
        <w:tblPrEx>
          <w:tblCellMar>
            <w:top w:w="0" w:type="dxa"/>
            <w:left w:w="108" w:type="dxa"/>
            <w:bottom w:w="0" w:type="dxa"/>
            <w:right w:w="108" w:type="dxa"/>
          </w:tblCellMar>
        </w:tblPrEx>
        <w:trPr>
          <w:trHeight w:val="93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8</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模具报废信息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类型编码、类型名称、实体编码、实体名称、所属车间、库位、申请人、报废原因、申请时间等</w:t>
            </w:r>
          </w:p>
        </w:tc>
      </w:tr>
      <w:tr>
        <w:tblPrEx>
          <w:tblCellMar>
            <w:top w:w="0" w:type="dxa"/>
            <w:left w:w="108" w:type="dxa"/>
            <w:bottom w:w="0" w:type="dxa"/>
            <w:right w:w="108" w:type="dxa"/>
          </w:tblCellMar>
        </w:tblPrEx>
        <w:trPr>
          <w:trHeight w:val="9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9</w:t>
            </w:r>
          </w:p>
        </w:tc>
        <w:tc>
          <w:tcPr>
            <w:tcW w:w="1176" w:type="dxa"/>
            <w:vMerge w:val="continue"/>
            <w:tcBorders>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模具报废评审信息</w:t>
            </w:r>
          </w:p>
        </w:tc>
        <w:tc>
          <w:tcPr>
            <w:tcW w:w="5851" w:type="dxa"/>
            <w:tcBorders>
              <w:top w:val="single" w:color="000000" w:sz="4" w:space="0"/>
              <w:left w:val="single" w:color="000000"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类型编码、类型名称、实体编码、实体名称、所属车间、库位、申请人、报废原因、评审结论、评审时间、审批人等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10</w:t>
            </w:r>
          </w:p>
        </w:tc>
        <w:tc>
          <w:tcPr>
            <w:tcW w:w="11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砂箱运行管理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砂箱台账信息</w:t>
            </w:r>
          </w:p>
        </w:tc>
        <w:tc>
          <w:tcPr>
            <w:tcW w:w="58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1</w:t>
            </w: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砂箱入库信息</w:t>
            </w:r>
          </w:p>
        </w:tc>
        <w:tc>
          <w:tcPr>
            <w:tcW w:w="58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序号、类型编码、类型名称、数量、规格、生产厂商、库位、所属车间、实体编码、实体名称、入库时间、入库人等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2</w:t>
            </w: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砂箱出库信息</w:t>
            </w:r>
          </w:p>
        </w:tc>
        <w:tc>
          <w:tcPr>
            <w:tcW w:w="585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序号、类型编码、类型名称、数量、规格、生产厂商、库位、所属车间、实体编码、实体名称、出库时间、领用人</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3</w:t>
            </w:r>
          </w:p>
        </w:tc>
        <w:tc>
          <w:tcPr>
            <w:tcW w:w="1176" w:type="dxa"/>
            <w:vMerge w:val="continue"/>
            <w:tcBorders>
              <w:top w:val="single" w:color="auto" w:sz="4" w:space="0"/>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砂箱保养信息</w:t>
            </w:r>
          </w:p>
        </w:tc>
        <w:tc>
          <w:tcPr>
            <w:tcW w:w="5851" w:type="dxa"/>
            <w:tcBorders>
              <w:top w:val="single" w:color="auto"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类型编码、类型名称、实体编码、实体名称、所属车间、库位、保养内容、示例、保养频率、描述等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4</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砂箱保养反馈信息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类型编码、类型名称、实体编码、实体名称、所属车间、库位、保养内容、示例、照片、保养时间、汇报人等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5</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砂箱维修信息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类型编码、类型名称、实体编码、实体名称、所属车间、库位、维修内容、照片、维修负责人、描述等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6</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砂箱维修反馈信息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类型编码、类型名称、实体编码、实体名称、所属车间、库位、维修内容、照片、维修时间、汇报人、描述等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7</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砂箱报废信息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类型编码、类型名称、实体编码、实体名称、所属车间、库位、申请人、报废原因、申请时间等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8</w:t>
            </w: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模具报废评审信息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类型编码、类型名称、实体编码、实体名称、所属车间、库位、申请人、报废原因、评审结论、评审时间、审批人等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9</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刀具运行管理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工装台账信息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0</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工装入库信息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序号、类型编码、类型名称、数量、规格、生产厂商、库位、所属车间、实体编码、实体名称、入库时间、入库人等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1</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工装出库信息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序号、类型编码、类型名称、数量、规格、生产厂商、库位、所属车间、实体编码、实体名称、出库时间、领用人</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2</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工装保养信息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类型编码、类型名称、实体编码、实体名称、所属车间、库位、保养内容、示例、保养频率、描述等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3</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工装保养反馈信息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类型编码、类型名称、实体编码、实体名称、所属车间、库位、保养内容、示例、照片、保养时间、汇报人等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4</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工装维修信息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类型编码、类型名称、实体编码、实体名称、所属车间、库位、维修内容、照片、维修负责人、描述等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5</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工装维修反馈信息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类型编码、类型名称、实体编码、实体名称、所属车间、库位、维修内容、照片、维修时间、汇报人、描述等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6</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工装报废信息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类型编码、类型名称、实体编码、实体名称、所属车间、库位、申请人、报废原因、申请时间等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7</w:t>
            </w: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工装报废评审信息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类型编码、类型名称、实体编码、实体名称、所属车间、库位、申请人、报废原因、评审结论、评审时间、审批人等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8</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刀具运行管理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刀具台账信息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r>
              <w:rPr>
                <w:rFonts w:ascii="宋体" w:hAnsi="宋体" w:cs="宋体"/>
                <w:szCs w:val="18"/>
              </w:rPr>
              <w:t>9</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刀具入库信息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序号、类型编码、类型名称、数量、规格、生产厂商、库位、所属车间、实体编码、实体名称、入库时间、入库人等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r>
              <w:rPr>
                <w:rFonts w:ascii="宋体" w:hAnsi="宋体" w:cs="宋体"/>
                <w:szCs w:val="18"/>
              </w:rPr>
              <w:t>0</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刀具出库信息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序号、类型编码、类型名称、数量、规格、生产厂商、库位、所属车间、实体编码、实体名称、出库时间、领用人</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r>
              <w:rPr>
                <w:rFonts w:ascii="宋体" w:hAnsi="宋体" w:cs="宋体"/>
                <w:szCs w:val="18"/>
              </w:rPr>
              <w:t>1</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刀具保养信息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类型编码、类型名称、实体编码、实体名称、所属车间、库位、保养内容、示例、保养频率、描述等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r>
              <w:rPr>
                <w:rFonts w:ascii="宋体" w:hAnsi="宋体" w:cs="宋体"/>
                <w:szCs w:val="18"/>
              </w:rPr>
              <w:t>2</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刀具保养反馈信息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类型编码、类型名称、实体编码、实体名称、所属车间、库位、保养内容、示例、照片、保养时间、汇报人等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r>
              <w:rPr>
                <w:rFonts w:ascii="宋体" w:hAnsi="宋体" w:cs="宋体"/>
                <w:szCs w:val="18"/>
              </w:rPr>
              <w:t>3</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刀具维修信息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类型编码、类型名称、实体编码、实体名称、所属车间、库位、维修内容、照片、维修负责人、描述等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r>
              <w:rPr>
                <w:rFonts w:ascii="宋体" w:hAnsi="宋体" w:cs="宋体"/>
                <w:szCs w:val="18"/>
              </w:rPr>
              <w:t>4</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刀具维修反馈信息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类型编码、类型名称、实体编码、实体名称、所属车间、库位、维修内容、照片、维修时间、汇报人、描述等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r>
              <w:rPr>
                <w:rFonts w:ascii="宋体" w:hAnsi="宋体" w:cs="宋体"/>
                <w:szCs w:val="18"/>
              </w:rPr>
              <w:t>5</w:t>
            </w:r>
          </w:p>
        </w:tc>
        <w:tc>
          <w:tcPr>
            <w:tcW w:w="1176"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刀具报废信息</w:t>
            </w:r>
          </w:p>
        </w:tc>
        <w:tc>
          <w:tcPr>
            <w:tcW w:w="585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类型编码、类型名称、实体编码、实体名称、所属车间、库位、申请人、报废原因、申请时间等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8"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r>
              <w:rPr>
                <w:rFonts w:ascii="宋体" w:hAnsi="宋体" w:cs="宋体"/>
                <w:szCs w:val="18"/>
              </w:rPr>
              <w:t>6</w:t>
            </w:r>
          </w:p>
        </w:tc>
        <w:tc>
          <w:tcPr>
            <w:tcW w:w="1176" w:type="dxa"/>
            <w:vMerge w:val="continue"/>
            <w:tcBorders>
              <w:left w:val="single" w:color="000000" w:sz="4" w:space="0"/>
              <w:bottom w:val="single" w:color="000000" w:sz="8" w:space="0"/>
              <w:right w:val="single" w:color="000000" w:sz="4" w:space="0"/>
            </w:tcBorders>
            <w:shd w:val="clear" w:color="auto" w:fill="auto"/>
            <w:vAlign w:val="center"/>
          </w:tcPr>
          <w:p>
            <w:pPr>
              <w:pStyle w:val="180"/>
              <w:rPr>
                <w:rFonts w:ascii="宋体" w:hAnsi="宋体" w:cs="宋体"/>
                <w:szCs w:val="18"/>
              </w:rPr>
            </w:pPr>
          </w:p>
        </w:tc>
        <w:tc>
          <w:tcPr>
            <w:tcW w:w="1620" w:type="dxa"/>
            <w:tcBorders>
              <w:top w:val="single" w:color="000000" w:sz="4" w:space="0"/>
              <w:left w:val="single" w:color="000000" w:sz="4" w:space="0"/>
              <w:bottom w:val="single" w:color="000000" w:sz="8"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刀具报废评审信息</w:t>
            </w:r>
          </w:p>
        </w:tc>
        <w:tc>
          <w:tcPr>
            <w:tcW w:w="5851" w:type="dxa"/>
            <w:tcBorders>
              <w:top w:val="single" w:color="000000" w:sz="4" w:space="0"/>
              <w:left w:val="single" w:color="000000" w:sz="4" w:space="0"/>
              <w:bottom w:val="single" w:color="000000" w:sz="8"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类型编码、类型名称、实体编码、实体名称、所属车间、库位、申请人、报废原因、评审结论、评审时间、审批人等</w:t>
            </w:r>
          </w:p>
        </w:tc>
      </w:tr>
    </w:tbl>
    <w:p>
      <w:pPr>
        <w:pStyle w:val="80"/>
        <w:spacing w:before="120" w:after="120"/>
      </w:pPr>
      <w:r>
        <w:rPr>
          <w:rFonts w:hint="eastAsia"/>
          <w:lang w:bidi="ar"/>
        </w:rPr>
        <w:t>设备管理类接口信息的字段</w:t>
      </w:r>
    </w:p>
    <w:p>
      <w:pPr>
        <w:pStyle w:val="58"/>
        <w:ind w:firstLine="420"/>
      </w:pPr>
      <w:r>
        <w:rPr>
          <w:rFonts w:hint="eastAsia"/>
        </w:rPr>
        <w:t>设备管理类接口信息主要包括设备台账状态设备点检、设备保养、设备维修、备品备件出入库等信息，用于设备的日常运行管理，提高设备的使用寿命，降低设备异常频次。设备管理类接口信息的字段如表A.4。</w:t>
      </w:r>
    </w:p>
    <w:p>
      <w:pPr>
        <w:pStyle w:val="79"/>
        <w:spacing w:before="120" w:after="120"/>
      </w:pPr>
      <w:r>
        <w:rPr>
          <w:rFonts w:hint="eastAsia"/>
          <w:lang w:bidi="ar"/>
        </w:rPr>
        <w:t>设备管理类接口信息的字段</w:t>
      </w:r>
    </w:p>
    <w:tbl>
      <w:tblPr>
        <w:tblStyle w:val="27"/>
        <w:tblW w:w="9253" w:type="dxa"/>
        <w:tblInd w:w="98" w:type="dxa"/>
        <w:tblLayout w:type="fixed"/>
        <w:tblCellMar>
          <w:top w:w="0" w:type="dxa"/>
          <w:left w:w="108" w:type="dxa"/>
          <w:bottom w:w="0" w:type="dxa"/>
          <w:right w:w="108" w:type="dxa"/>
        </w:tblCellMar>
      </w:tblPr>
      <w:tblGrid>
        <w:gridCol w:w="606"/>
        <w:gridCol w:w="1198"/>
        <w:gridCol w:w="1530"/>
        <w:gridCol w:w="5919"/>
      </w:tblGrid>
      <w:tr>
        <w:tblPrEx>
          <w:tblCellMar>
            <w:top w:w="0" w:type="dxa"/>
            <w:left w:w="108" w:type="dxa"/>
            <w:bottom w:w="0" w:type="dxa"/>
            <w:right w:w="108" w:type="dxa"/>
          </w:tblCellMar>
        </w:tblPrEx>
        <w:trPr>
          <w:trHeight w:val="280" w:hRule="atLeast"/>
          <w:tblHeader/>
        </w:trPr>
        <w:tc>
          <w:tcPr>
            <w:tcW w:w="606" w:type="dxa"/>
            <w:tcBorders>
              <w:top w:val="single" w:color="000000" w:sz="8"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w:t>
            </w:r>
          </w:p>
        </w:tc>
        <w:tc>
          <w:tcPr>
            <w:tcW w:w="1198" w:type="dxa"/>
            <w:tcBorders>
              <w:top w:val="single" w:color="000000" w:sz="8"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字段类型</w:t>
            </w:r>
          </w:p>
        </w:tc>
        <w:tc>
          <w:tcPr>
            <w:tcW w:w="1530" w:type="dxa"/>
            <w:tcBorders>
              <w:top w:val="single" w:color="000000" w:sz="8"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字段属性</w:t>
            </w:r>
          </w:p>
        </w:tc>
        <w:tc>
          <w:tcPr>
            <w:tcW w:w="5919" w:type="dxa"/>
            <w:tcBorders>
              <w:top w:val="single" w:color="000000" w:sz="8" w:space="0"/>
              <w:left w:val="single" w:color="000000"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字段名称</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1</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设备主数据</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设备主数据信息</w:t>
            </w:r>
          </w:p>
        </w:tc>
        <w:tc>
          <w:tcPr>
            <w:tcW w:w="5919"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设备编码、设备名称、设备类别、设备分类、规格型号、所属车间、配备地点、设备状态、操作人、负责人、安装日期、启用日期、制造厂商、厂商地址、厂商联系人、厂商联系电话等</w:t>
            </w:r>
          </w:p>
        </w:tc>
      </w:tr>
      <w:tr>
        <w:tblPrEx>
          <w:tblCellMar>
            <w:top w:w="0" w:type="dxa"/>
            <w:left w:w="108" w:type="dxa"/>
            <w:bottom w:w="0" w:type="dxa"/>
            <w:right w:w="108" w:type="dxa"/>
          </w:tblCellMar>
        </w:tblPrEx>
        <w:trPr>
          <w:trHeight w:val="112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4</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设备分类信息</w:t>
            </w:r>
          </w:p>
        </w:tc>
        <w:tc>
          <w:tcPr>
            <w:tcW w:w="5919"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环保设备、加工设备、客运设备、清理设备、热处理设备、熔炼设备、砂处理设备、生产设备、维修设备、运输设备、造型设备等</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5</w:t>
            </w:r>
          </w:p>
        </w:tc>
        <w:tc>
          <w:tcPr>
            <w:tcW w:w="119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p>
        </w:tc>
        <w:tc>
          <w:tcPr>
            <w:tcW w:w="153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设备类别信息</w:t>
            </w:r>
          </w:p>
        </w:tc>
        <w:tc>
          <w:tcPr>
            <w:tcW w:w="5919" w:type="dxa"/>
            <w:tcBorders>
              <w:top w:val="single" w:color="auto"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普通设备、特种设备、精密设备、除尘设备、机床设备等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8</w:t>
            </w:r>
          </w:p>
        </w:tc>
        <w:tc>
          <w:tcPr>
            <w:tcW w:w="1198" w:type="dxa"/>
            <w:vMerge w:val="restart"/>
            <w:tcBorders>
              <w:top w:val="single" w:color="000000" w:sz="4" w:space="0"/>
              <w:left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设备入场检验</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设备检验信息</w:t>
            </w:r>
          </w:p>
        </w:tc>
        <w:tc>
          <w:tcPr>
            <w:tcW w:w="591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设备编码、设备名称、检验编号、检验结论、检验报告、检验备注等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9</w:t>
            </w:r>
          </w:p>
        </w:tc>
        <w:tc>
          <w:tcPr>
            <w:tcW w:w="119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设备管理信息</w:t>
            </w:r>
          </w:p>
        </w:tc>
        <w:tc>
          <w:tcPr>
            <w:tcW w:w="591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设备类别、设备分类、规格型号、配备地点、所属工步、所属班组、所属工厂、设备状态、负责人、安装日期、启用日期、制造厂商、厂商地址、厂商联系人、厂商联系电话、检验周期、提醒周期、检验日期、检验有效期、检验编号、检验状态、检验结论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10</w:t>
            </w:r>
          </w:p>
        </w:tc>
        <w:tc>
          <w:tcPr>
            <w:tcW w:w="1198" w:type="dxa"/>
            <w:vMerge w:val="continue"/>
            <w:tcBorders>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p>
        </w:tc>
        <w:tc>
          <w:tcPr>
            <w:tcW w:w="1530"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设备分类信息</w:t>
            </w:r>
          </w:p>
        </w:tc>
        <w:tc>
          <w:tcPr>
            <w:tcW w:w="5919" w:type="dxa"/>
            <w:tcBorders>
              <w:top w:val="single" w:color="000000" w:sz="4" w:space="0"/>
              <w:left w:val="single" w:color="000000"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环保设备、加工设备、客运设备、清理设备、热处理设备、熔炼设备、砂处理设备、生产设备、维修设备、运输设备、造型设备等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11</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设备维修</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检查项模块信息</w:t>
            </w:r>
          </w:p>
        </w:tc>
        <w:tc>
          <w:tcPr>
            <w:tcW w:w="5919"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设备编码、设备名称、所属工序、检查项编码、检查项名称、检查项类型、变量值、检查项描述、检查周期、所属工厂、设备类别等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12</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维修计划模块</w:t>
            </w:r>
          </w:p>
        </w:tc>
        <w:tc>
          <w:tcPr>
            <w:tcW w:w="5919"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设备编码、设备名称、故障描述、报修时间、确认时间、报修人、及时性、所属车间、所属工厂等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13</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维修记录模块</w:t>
            </w:r>
          </w:p>
        </w:tc>
        <w:tc>
          <w:tcPr>
            <w:tcW w:w="5919"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设备编码、设备名称、故障代码、解决方法、报修状态、故障描述、报修时间、确认时间、维修时长、维修人、所属工厂等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14</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维修审批模块</w:t>
            </w:r>
          </w:p>
        </w:tc>
        <w:tc>
          <w:tcPr>
            <w:tcW w:w="5919"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设备编码、设备名称、故障代码、故障描述、解决方法、报修时间、确认时间、报修人、维修人、及时性、效果、速度、现场处理、审批结论等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20</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报修记录模块</w:t>
            </w:r>
          </w:p>
        </w:tc>
        <w:tc>
          <w:tcPr>
            <w:tcW w:w="5919"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设备编码、设备名称、故障代码、报修状态、故障描述、报修时间、确认时间、维修时长、报修人、维修人、所属工厂等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21</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故障分析模块</w:t>
            </w:r>
          </w:p>
        </w:tc>
        <w:tc>
          <w:tcPr>
            <w:tcW w:w="5919"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设备编码、设备名称、设备分类、报修时间、报修原因、报修人、故障代码、故障名称、预防措施、责任班组、责任人、所属车间等</w:t>
            </w:r>
          </w:p>
        </w:tc>
      </w:tr>
      <w:tr>
        <w:tblPrEx>
          <w:tblCellMar>
            <w:top w:w="0" w:type="dxa"/>
            <w:left w:w="108" w:type="dxa"/>
            <w:bottom w:w="0" w:type="dxa"/>
            <w:right w:w="108" w:type="dxa"/>
          </w:tblCellMar>
        </w:tblPrEx>
        <w:trPr>
          <w:trHeight w:val="412"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24</w:t>
            </w:r>
          </w:p>
        </w:tc>
        <w:tc>
          <w:tcPr>
            <w:tcW w:w="119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p>
        </w:tc>
        <w:tc>
          <w:tcPr>
            <w:tcW w:w="153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故障知识库</w:t>
            </w:r>
          </w:p>
        </w:tc>
        <w:tc>
          <w:tcPr>
            <w:tcW w:w="5919" w:type="dxa"/>
            <w:tcBorders>
              <w:top w:val="single" w:color="auto"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设备分类、故障代码、故障名称、故障描述、解决方法等</w:t>
            </w:r>
          </w:p>
        </w:tc>
      </w:tr>
      <w:tr>
        <w:tblPrEx>
          <w:tblCellMar>
            <w:top w:w="0" w:type="dxa"/>
            <w:left w:w="108" w:type="dxa"/>
            <w:bottom w:w="0" w:type="dxa"/>
            <w:right w:w="108" w:type="dxa"/>
          </w:tblCellMar>
        </w:tblPrEx>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25</w:t>
            </w:r>
          </w:p>
        </w:tc>
        <w:tc>
          <w:tcPr>
            <w:tcW w:w="1198" w:type="dxa"/>
            <w:vMerge w:val="restart"/>
            <w:tcBorders>
              <w:top w:val="single" w:color="000000" w:sz="4" w:space="0"/>
              <w:left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设备保养</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设备保养项信息</w:t>
            </w:r>
          </w:p>
        </w:tc>
        <w:tc>
          <w:tcPr>
            <w:tcW w:w="591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设备分类、保养名称、保养级别、保养说明、创建人、保养项创建时间等</w:t>
            </w:r>
          </w:p>
        </w:tc>
      </w:tr>
      <w:tr>
        <w:tblPrEx>
          <w:tblCellMar>
            <w:top w:w="0" w:type="dxa"/>
            <w:left w:w="108" w:type="dxa"/>
            <w:bottom w:w="0" w:type="dxa"/>
            <w:right w:w="108" w:type="dxa"/>
          </w:tblCellMar>
        </w:tblPrEx>
        <w:trPr>
          <w:trHeight w:val="314"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26</w:t>
            </w:r>
          </w:p>
        </w:tc>
        <w:tc>
          <w:tcPr>
            <w:tcW w:w="119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设备保养计划</w:t>
            </w:r>
          </w:p>
        </w:tc>
        <w:tc>
          <w:tcPr>
            <w:tcW w:w="591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设备名称、保养计划名称、创建人、保养创建时间等</w:t>
            </w:r>
          </w:p>
        </w:tc>
      </w:tr>
      <w:tr>
        <w:tblPrEx>
          <w:tblCellMar>
            <w:top w:w="0" w:type="dxa"/>
            <w:left w:w="108" w:type="dxa"/>
            <w:bottom w:w="0" w:type="dxa"/>
            <w:right w:w="108" w:type="dxa"/>
          </w:tblCellMar>
        </w:tblPrEx>
        <w:trPr>
          <w:trHeight w:val="314"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27</w:t>
            </w:r>
          </w:p>
        </w:tc>
        <w:tc>
          <w:tcPr>
            <w:tcW w:w="119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保养汇报信息</w:t>
            </w:r>
          </w:p>
        </w:tc>
        <w:tc>
          <w:tcPr>
            <w:tcW w:w="591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设备名称、保养计划名称、保养项名称、保养天数、审批状态、保养说明、汇报时间、责任人、保养前照片、保养后照片等</w:t>
            </w:r>
          </w:p>
        </w:tc>
      </w:tr>
      <w:tr>
        <w:tblPrEx>
          <w:tblCellMar>
            <w:top w:w="0" w:type="dxa"/>
            <w:left w:w="108" w:type="dxa"/>
            <w:bottom w:w="0" w:type="dxa"/>
            <w:right w:w="108" w:type="dxa"/>
          </w:tblCellMar>
        </w:tblPrEx>
        <w:trPr>
          <w:trHeight w:val="314"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28</w:t>
            </w:r>
          </w:p>
        </w:tc>
        <w:tc>
          <w:tcPr>
            <w:tcW w:w="119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保养审批信息</w:t>
            </w:r>
          </w:p>
        </w:tc>
        <w:tc>
          <w:tcPr>
            <w:tcW w:w="5919"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设备名称、保养计划名称、保养项名称、保养天数、审批状态、保养说明、汇报时间、责任人等</w:t>
            </w:r>
          </w:p>
        </w:tc>
      </w:tr>
      <w:tr>
        <w:tblPrEx>
          <w:tblCellMar>
            <w:top w:w="0" w:type="dxa"/>
            <w:left w:w="108" w:type="dxa"/>
            <w:bottom w:w="0" w:type="dxa"/>
            <w:right w:w="108" w:type="dxa"/>
          </w:tblCellMar>
        </w:tblPrEx>
        <w:trPr>
          <w:trHeight w:val="314" w:hRule="atLeast"/>
        </w:trPr>
        <w:tc>
          <w:tcPr>
            <w:tcW w:w="606" w:type="dxa"/>
            <w:tcBorders>
              <w:top w:val="single" w:color="000000" w:sz="4" w:space="0"/>
              <w:left w:val="single" w:color="000000" w:sz="8" w:space="0"/>
              <w:bottom w:val="single" w:color="000000" w:sz="8"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29</w:t>
            </w:r>
          </w:p>
        </w:tc>
        <w:tc>
          <w:tcPr>
            <w:tcW w:w="1198" w:type="dxa"/>
            <w:vMerge w:val="continue"/>
            <w:tcBorders>
              <w:left w:val="single" w:color="000000" w:sz="4" w:space="0"/>
              <w:bottom w:val="single" w:color="000000" w:sz="8" w:space="0"/>
              <w:right w:val="single" w:color="000000" w:sz="4" w:space="0"/>
            </w:tcBorders>
            <w:shd w:val="clear" w:color="auto" w:fill="auto"/>
            <w:vAlign w:val="center"/>
          </w:tcPr>
          <w:p>
            <w:pPr>
              <w:pStyle w:val="180"/>
              <w:rPr>
                <w:rFonts w:ascii="宋体" w:hAnsi="宋体" w:cs="宋体"/>
                <w:szCs w:val="18"/>
              </w:rPr>
            </w:pPr>
          </w:p>
        </w:tc>
        <w:tc>
          <w:tcPr>
            <w:tcW w:w="1530" w:type="dxa"/>
            <w:tcBorders>
              <w:top w:val="single" w:color="000000" w:sz="4" w:space="0"/>
              <w:left w:val="single" w:color="000000" w:sz="4" w:space="0"/>
              <w:bottom w:val="single" w:color="000000" w:sz="8"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保养记录</w:t>
            </w:r>
          </w:p>
        </w:tc>
        <w:tc>
          <w:tcPr>
            <w:tcW w:w="5919" w:type="dxa"/>
            <w:tcBorders>
              <w:top w:val="single" w:color="000000" w:sz="4" w:space="0"/>
              <w:left w:val="single" w:color="000000" w:sz="4" w:space="0"/>
              <w:bottom w:val="single" w:color="000000" w:sz="8"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设备名称、保养计划名称、保养项名称、保养天数、审批状态、保养说明、汇报时间、责任人、保养前照片、保养后照片等</w:t>
            </w:r>
          </w:p>
        </w:tc>
      </w:tr>
    </w:tbl>
    <w:p>
      <w:pPr>
        <w:pStyle w:val="80"/>
        <w:spacing w:before="120" w:after="120"/>
      </w:pPr>
      <w:r>
        <w:rPr>
          <w:rFonts w:hint="eastAsia"/>
          <w:lang w:bidi="ar"/>
        </w:rPr>
        <w:t>仓储管理类接口信息的字段</w:t>
      </w:r>
    </w:p>
    <w:p>
      <w:pPr>
        <w:pStyle w:val="58"/>
        <w:ind w:firstLine="420"/>
      </w:pPr>
      <w:r>
        <w:rPr>
          <w:rFonts w:hint="eastAsia"/>
        </w:rPr>
        <w:t>仓储管理类接口信息用于生产过程中仓储存储信息管理，交互信息包括产品的出/入库、仓库内产品位置的调拨、仓库能力的展示、仓库库位存储情况等信息，为生产现场产品的快速周转和快速查询提供便捷，更加有效的利用有限空间的生产场地。仓储管理类接口信息的字段如表A.5。</w:t>
      </w:r>
    </w:p>
    <w:p>
      <w:pPr>
        <w:pStyle w:val="79"/>
        <w:spacing w:before="120" w:after="120"/>
      </w:pPr>
      <w:r>
        <w:rPr>
          <w:rFonts w:hint="eastAsia"/>
          <w:lang w:bidi="ar"/>
        </w:rPr>
        <w:t>仓储管理类接口信息的字段</w:t>
      </w:r>
    </w:p>
    <w:tbl>
      <w:tblPr>
        <w:tblStyle w:val="27"/>
        <w:tblW w:w="9253" w:type="dxa"/>
        <w:tblInd w:w="98" w:type="dxa"/>
        <w:tblLayout w:type="fixed"/>
        <w:tblCellMar>
          <w:top w:w="0" w:type="dxa"/>
          <w:left w:w="108" w:type="dxa"/>
          <w:bottom w:w="0" w:type="dxa"/>
          <w:right w:w="108" w:type="dxa"/>
        </w:tblCellMar>
      </w:tblPr>
      <w:tblGrid>
        <w:gridCol w:w="606"/>
        <w:gridCol w:w="1191"/>
        <w:gridCol w:w="1515"/>
        <w:gridCol w:w="5941"/>
      </w:tblGrid>
      <w:tr>
        <w:tblPrEx>
          <w:tblCellMar>
            <w:top w:w="0" w:type="dxa"/>
            <w:left w:w="108" w:type="dxa"/>
            <w:bottom w:w="0" w:type="dxa"/>
            <w:right w:w="108" w:type="dxa"/>
          </w:tblCellMar>
        </w:tblPrEx>
        <w:trPr>
          <w:trHeight w:val="280" w:hRule="atLeast"/>
          <w:tblHeader/>
        </w:trPr>
        <w:tc>
          <w:tcPr>
            <w:tcW w:w="60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序号</w:t>
            </w:r>
          </w:p>
        </w:tc>
        <w:tc>
          <w:tcPr>
            <w:tcW w:w="119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字段类型</w:t>
            </w:r>
          </w:p>
        </w:tc>
        <w:tc>
          <w:tcPr>
            <w:tcW w:w="151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字段属性</w:t>
            </w:r>
          </w:p>
        </w:tc>
        <w:tc>
          <w:tcPr>
            <w:tcW w:w="5941" w:type="dxa"/>
            <w:tcBorders>
              <w:top w:val="single" w:color="000000" w:sz="8" w:space="0"/>
              <w:left w:val="single" w:color="000000" w:sz="4" w:space="0"/>
              <w:bottom w:val="single" w:color="000000" w:sz="4" w:space="0"/>
              <w:right w:val="single" w:color="auto" w:sz="8" w:space="0"/>
            </w:tcBorders>
            <w:shd w:val="clear" w:color="auto" w:fill="auto"/>
            <w:noWrap/>
            <w:vAlign w:val="center"/>
          </w:tcPr>
          <w:p>
            <w:pPr>
              <w:pStyle w:val="180"/>
              <w:rPr>
                <w:rFonts w:ascii="宋体" w:hAnsi="宋体" w:cs="宋体"/>
                <w:szCs w:val="18"/>
              </w:rPr>
            </w:pPr>
            <w:r>
              <w:rPr>
                <w:rFonts w:hint="eastAsia" w:ascii="宋体" w:hAnsi="宋体" w:cs="宋体"/>
                <w:szCs w:val="18"/>
              </w:rPr>
              <w:t>字段名称</w:t>
            </w:r>
          </w:p>
        </w:tc>
      </w:tr>
      <w:tr>
        <w:tblPrEx>
          <w:tblCellMar>
            <w:top w:w="0" w:type="dxa"/>
            <w:left w:w="108" w:type="dxa"/>
            <w:bottom w:w="0" w:type="dxa"/>
            <w:right w:w="108" w:type="dxa"/>
          </w:tblCellMar>
        </w:tblPrEx>
        <w:trPr>
          <w:trHeight w:val="51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1</w:t>
            </w:r>
          </w:p>
        </w:tc>
        <w:tc>
          <w:tcPr>
            <w:tcW w:w="1191" w:type="dxa"/>
            <w:vMerge w:val="restart"/>
            <w:tcBorders>
              <w:top w:val="single" w:color="000000" w:sz="4" w:space="0"/>
              <w:left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库存定义</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库存区域信息</w:t>
            </w:r>
          </w:p>
        </w:tc>
        <w:tc>
          <w:tcPr>
            <w:tcW w:w="594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库存区域编码、库存区域名称、库存区域类型、状态等</w:t>
            </w:r>
          </w:p>
        </w:tc>
      </w:tr>
      <w:tr>
        <w:tblPrEx>
          <w:tblCellMar>
            <w:top w:w="0" w:type="dxa"/>
            <w:left w:w="108" w:type="dxa"/>
            <w:bottom w:w="0" w:type="dxa"/>
            <w:right w:w="108" w:type="dxa"/>
          </w:tblCellMar>
        </w:tblPrEx>
        <w:trPr>
          <w:trHeight w:val="46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2</w:t>
            </w:r>
          </w:p>
        </w:tc>
        <w:tc>
          <w:tcPr>
            <w:tcW w:w="1191"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库存位置信息</w:t>
            </w:r>
          </w:p>
        </w:tc>
        <w:tc>
          <w:tcPr>
            <w:tcW w:w="594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库位编码、库位名称、库位类型、状态、所属库存区域等</w:t>
            </w:r>
          </w:p>
        </w:tc>
      </w:tr>
      <w:tr>
        <w:tblPrEx>
          <w:tblCellMar>
            <w:top w:w="0" w:type="dxa"/>
            <w:left w:w="108" w:type="dxa"/>
            <w:bottom w:w="0" w:type="dxa"/>
            <w:right w:w="108" w:type="dxa"/>
          </w:tblCellMar>
        </w:tblPrEx>
        <w:trPr>
          <w:trHeight w:val="50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3</w:t>
            </w:r>
          </w:p>
        </w:tc>
        <w:tc>
          <w:tcPr>
            <w:tcW w:w="1191" w:type="dxa"/>
            <w:vMerge w:val="continue"/>
            <w:tcBorders>
              <w:left w:val="single" w:color="000000" w:sz="4" w:space="0"/>
              <w:bottom w:val="single" w:color="auto" w:sz="4" w:space="0"/>
              <w:right w:val="single" w:color="000000" w:sz="4" w:space="0"/>
            </w:tcBorders>
            <w:shd w:val="clear" w:color="auto" w:fill="auto"/>
            <w:noWrap/>
            <w:vAlign w:val="center"/>
          </w:tcPr>
          <w:p>
            <w:pPr>
              <w:pStyle w:val="180"/>
              <w:rPr>
                <w:rFonts w:ascii="宋体" w:hAnsi="宋体" w:cs="宋体"/>
                <w:szCs w:val="18"/>
              </w:rPr>
            </w:pPr>
          </w:p>
        </w:tc>
        <w:tc>
          <w:tcPr>
            <w:tcW w:w="1515"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库存规则属性</w:t>
            </w:r>
          </w:p>
        </w:tc>
        <w:tc>
          <w:tcPr>
            <w:tcW w:w="5941" w:type="dxa"/>
            <w:tcBorders>
              <w:top w:val="single" w:color="000000" w:sz="4" w:space="0"/>
              <w:left w:val="single" w:color="000000"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规则编码、规则名称、规则内容、库位优先级等</w:t>
            </w:r>
          </w:p>
        </w:tc>
      </w:tr>
      <w:tr>
        <w:tblPrEx>
          <w:tblCellMar>
            <w:top w:w="0" w:type="dxa"/>
            <w:left w:w="108" w:type="dxa"/>
            <w:bottom w:w="0" w:type="dxa"/>
            <w:right w:w="108" w:type="dxa"/>
          </w:tblCellMar>
        </w:tblPrEx>
        <w:trPr>
          <w:trHeight w:val="9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4</w:t>
            </w:r>
          </w:p>
        </w:tc>
        <w:tc>
          <w:tcPr>
            <w:tcW w:w="11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库存能力</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仓库能力信息</w:t>
            </w:r>
          </w:p>
        </w:tc>
        <w:tc>
          <w:tcPr>
            <w:tcW w:w="594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库存区域代码、库存区域名称、库存位置代码、库存位置名称、库位总数量、已占用数量、剩余数量、状态等</w:t>
            </w:r>
          </w:p>
        </w:tc>
      </w:tr>
      <w:tr>
        <w:tblPrEx>
          <w:tblCellMar>
            <w:top w:w="0" w:type="dxa"/>
            <w:left w:w="108" w:type="dxa"/>
            <w:bottom w:w="0" w:type="dxa"/>
            <w:right w:w="108" w:type="dxa"/>
          </w:tblCellMar>
        </w:tblPrEx>
        <w:trPr>
          <w:trHeight w:val="92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5</w:t>
            </w:r>
          </w:p>
        </w:tc>
        <w:tc>
          <w:tcPr>
            <w:tcW w:w="119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rPr>
                <w:rFonts w:ascii="宋体" w:hAnsi="宋体" w:cs="宋体"/>
                <w:szCs w:val="18"/>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出库请求信息</w:t>
            </w:r>
          </w:p>
        </w:tc>
        <w:tc>
          <w:tcPr>
            <w:tcW w:w="594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订单号、行号、产品代码、产品名称、数量、铸件号、计量数值、计量单位、库存区域代码、库存位置代码等</w:t>
            </w:r>
          </w:p>
        </w:tc>
      </w:tr>
      <w:tr>
        <w:tblPrEx>
          <w:tblCellMar>
            <w:top w:w="0" w:type="dxa"/>
            <w:left w:w="108" w:type="dxa"/>
            <w:bottom w:w="0" w:type="dxa"/>
            <w:right w:w="108" w:type="dxa"/>
          </w:tblCellMar>
        </w:tblPrEx>
        <w:trPr>
          <w:trHeight w:val="93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6</w:t>
            </w:r>
          </w:p>
        </w:tc>
        <w:tc>
          <w:tcPr>
            <w:tcW w:w="119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rPr>
                <w:rFonts w:ascii="宋体" w:hAnsi="宋体" w:cs="宋体"/>
                <w:szCs w:val="18"/>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入库请求信息</w:t>
            </w:r>
          </w:p>
        </w:tc>
        <w:tc>
          <w:tcPr>
            <w:tcW w:w="594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订单号、行号、产品代码、产品名称、数量、铸件号、计量数值、计量单位、库存区域代码、库存位置代码等</w:t>
            </w:r>
          </w:p>
        </w:tc>
      </w:tr>
      <w:tr>
        <w:tblPrEx>
          <w:tblCellMar>
            <w:top w:w="0" w:type="dxa"/>
            <w:left w:w="108" w:type="dxa"/>
            <w:bottom w:w="0" w:type="dxa"/>
            <w:right w:w="108" w:type="dxa"/>
          </w:tblCellMar>
        </w:tblPrEx>
        <w:trPr>
          <w:trHeight w:val="9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7</w:t>
            </w:r>
          </w:p>
        </w:tc>
        <w:tc>
          <w:tcPr>
            <w:tcW w:w="119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rPr>
                <w:rFonts w:ascii="宋体" w:hAnsi="宋体" w:cs="宋体"/>
                <w:szCs w:val="18"/>
              </w:rPr>
            </w:p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退库请求信息</w:t>
            </w:r>
          </w:p>
        </w:tc>
        <w:tc>
          <w:tcPr>
            <w:tcW w:w="5941"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订单号、产品代码、产品名称、数量、铸件号、计量数值、计量单位、库存区域代码、库存位置代码、退库原因等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8</w:t>
            </w:r>
          </w:p>
        </w:tc>
        <w:tc>
          <w:tcPr>
            <w:tcW w:w="1191"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pStyle w:val="180"/>
              <w:rPr>
                <w:rFonts w:ascii="宋体" w:hAnsi="宋体" w:cs="宋体"/>
                <w:szCs w:val="18"/>
              </w:rPr>
            </w:pPr>
          </w:p>
        </w:tc>
        <w:tc>
          <w:tcPr>
            <w:tcW w:w="15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库内调整请求信息</w:t>
            </w:r>
          </w:p>
        </w:tc>
        <w:tc>
          <w:tcPr>
            <w:tcW w:w="5941" w:type="dxa"/>
            <w:tcBorders>
              <w:top w:val="single" w:color="auto"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订单号、行号、产品代码、产品名称、数量、铸件号、计量数值、计量单位、库存区域代码、库存位置代码、库位变更原因等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9</w:t>
            </w:r>
          </w:p>
        </w:tc>
        <w:tc>
          <w:tcPr>
            <w:tcW w:w="1191" w:type="dxa"/>
            <w:vMerge w:val="restart"/>
            <w:tcBorders>
              <w:top w:val="single" w:color="000000" w:sz="4" w:space="0"/>
              <w:left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库存响应</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出库响应信息</w:t>
            </w:r>
          </w:p>
        </w:tc>
        <w:tc>
          <w:tcPr>
            <w:tcW w:w="594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订单号、行号、产品代码、产品名称、数量、铸件号、计量数值、计量单位、库存区域代码、库存位置代码、操作时间、操作人、状态等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0</w:t>
            </w:r>
          </w:p>
        </w:tc>
        <w:tc>
          <w:tcPr>
            <w:tcW w:w="1191"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入库响应信息</w:t>
            </w:r>
          </w:p>
        </w:tc>
        <w:tc>
          <w:tcPr>
            <w:tcW w:w="594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订单号、行号、产品代码、产品名称、数量、铸件号、计量数值、计量单位、库存区域代码、库存位置代码、操作时间、操作人、状态等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1</w:t>
            </w:r>
          </w:p>
        </w:tc>
        <w:tc>
          <w:tcPr>
            <w:tcW w:w="1191"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退库响应信息</w:t>
            </w:r>
          </w:p>
        </w:tc>
        <w:tc>
          <w:tcPr>
            <w:tcW w:w="5941"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订单号、行号、产品代码、产品名称、数量、铸件号、计量数值、计量单位、库存区域代码、库存位置代码、退库原因、操作时间、操作人、状态等</w:t>
            </w:r>
          </w:p>
        </w:tc>
      </w:tr>
      <w:tr>
        <w:tblPrEx>
          <w:tblCellMar>
            <w:top w:w="0" w:type="dxa"/>
            <w:left w:w="108" w:type="dxa"/>
            <w:bottom w:w="0" w:type="dxa"/>
            <w:right w:w="108" w:type="dxa"/>
          </w:tblCellMar>
        </w:tblPrEx>
        <w:trPr>
          <w:trHeight w:val="840" w:hRule="atLeast"/>
        </w:trPr>
        <w:tc>
          <w:tcPr>
            <w:tcW w:w="606"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1</w:t>
            </w:r>
            <w:r>
              <w:rPr>
                <w:rFonts w:ascii="宋体" w:hAnsi="宋体" w:cs="宋体"/>
                <w:szCs w:val="18"/>
              </w:rPr>
              <w:t>2</w:t>
            </w:r>
          </w:p>
        </w:tc>
        <w:tc>
          <w:tcPr>
            <w:tcW w:w="1191" w:type="dxa"/>
            <w:vMerge w:val="continue"/>
            <w:tcBorders>
              <w:left w:val="single" w:color="000000" w:sz="4" w:space="0"/>
              <w:bottom w:val="single" w:color="000000" w:sz="8" w:space="0"/>
              <w:right w:val="single" w:color="000000" w:sz="4" w:space="0"/>
            </w:tcBorders>
            <w:shd w:val="clear" w:color="auto" w:fill="auto"/>
            <w:vAlign w:val="center"/>
          </w:tcPr>
          <w:p>
            <w:pPr>
              <w:pStyle w:val="180"/>
              <w:rPr>
                <w:rFonts w:ascii="宋体" w:hAnsi="宋体" w:cs="宋体"/>
                <w:szCs w:val="18"/>
              </w:rPr>
            </w:pPr>
          </w:p>
        </w:tc>
        <w:tc>
          <w:tcPr>
            <w:tcW w:w="151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库内调整响应信息</w:t>
            </w:r>
          </w:p>
        </w:tc>
        <w:tc>
          <w:tcPr>
            <w:tcW w:w="5941" w:type="dxa"/>
            <w:tcBorders>
              <w:top w:val="single" w:color="000000" w:sz="4" w:space="0"/>
              <w:left w:val="single" w:color="000000" w:sz="4" w:space="0"/>
              <w:bottom w:val="single" w:color="000000" w:sz="8" w:space="0"/>
              <w:right w:val="single" w:color="auto" w:sz="8" w:space="0"/>
            </w:tcBorders>
            <w:shd w:val="clear" w:color="auto" w:fill="auto"/>
            <w:vAlign w:val="center"/>
          </w:tcPr>
          <w:p>
            <w:pPr>
              <w:pStyle w:val="180"/>
              <w:rPr>
                <w:rFonts w:ascii="宋体" w:hAnsi="宋体" w:cs="宋体"/>
                <w:szCs w:val="18"/>
              </w:rPr>
            </w:pPr>
            <w:r>
              <w:rPr>
                <w:rFonts w:hint="eastAsia" w:ascii="宋体" w:hAnsi="宋体" w:cs="宋体"/>
                <w:szCs w:val="18"/>
              </w:rPr>
              <w:t>订单号、行号、产品代码、产品名称、数量、铸件号、计量数值、计量单位、库存区域代码、库存位置代码、库位变更原因、操作时间、操作人、状态等</w:t>
            </w:r>
          </w:p>
        </w:tc>
      </w:tr>
    </w:tbl>
    <w:p>
      <w:pPr>
        <w:pStyle w:val="80"/>
        <w:spacing w:before="120" w:after="120"/>
      </w:pPr>
      <w:r>
        <w:rPr>
          <w:rFonts w:hint="eastAsia"/>
          <w:lang w:bidi="ar"/>
        </w:rPr>
        <w:t>基础数据管理类接口信息的字段</w:t>
      </w:r>
    </w:p>
    <w:p>
      <w:pPr>
        <w:pStyle w:val="58"/>
        <w:ind w:firstLine="420"/>
      </w:pPr>
      <w:r>
        <w:rPr>
          <w:rFonts w:hint="eastAsia"/>
        </w:rPr>
        <w:t>基础数据管理类接口信息主要包括组织架构信息、产品工艺信息，用于系统的数据运算处理和系统使用权限的分配。MES内部维护基础数据主要用于数据的处理并推送到相应执行系统进行数据执行。基础数据管理类接口信息的字段如表A.</w:t>
      </w:r>
      <w:r>
        <w:t>6</w:t>
      </w:r>
      <w:r>
        <w:rPr>
          <w:rFonts w:hint="eastAsia"/>
        </w:rPr>
        <w:t>。</w:t>
      </w:r>
    </w:p>
    <w:p>
      <w:pPr>
        <w:pStyle w:val="79"/>
        <w:spacing w:before="120" w:after="120"/>
      </w:pPr>
      <w:r>
        <w:rPr>
          <w:rFonts w:hint="eastAsia"/>
          <w:lang w:bidi="ar"/>
        </w:rPr>
        <w:t>基础数据管理类接口信息的字段</w:t>
      </w:r>
    </w:p>
    <w:tbl>
      <w:tblPr>
        <w:tblStyle w:val="27"/>
        <w:tblW w:w="9253" w:type="dxa"/>
        <w:tblInd w:w="98" w:type="dxa"/>
        <w:tblLayout w:type="fixed"/>
        <w:tblCellMar>
          <w:top w:w="0" w:type="dxa"/>
          <w:left w:w="108" w:type="dxa"/>
          <w:bottom w:w="0" w:type="dxa"/>
          <w:right w:w="108" w:type="dxa"/>
        </w:tblCellMar>
      </w:tblPr>
      <w:tblGrid>
        <w:gridCol w:w="606"/>
        <w:gridCol w:w="1168"/>
        <w:gridCol w:w="1575"/>
        <w:gridCol w:w="5904"/>
      </w:tblGrid>
      <w:tr>
        <w:tblPrEx>
          <w:tblCellMar>
            <w:top w:w="0" w:type="dxa"/>
            <w:left w:w="108" w:type="dxa"/>
            <w:bottom w:w="0" w:type="dxa"/>
            <w:right w:w="108" w:type="dxa"/>
          </w:tblCellMar>
        </w:tblPrEx>
        <w:trPr>
          <w:trHeight w:val="280" w:hRule="atLeast"/>
          <w:tblHeader/>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字段类型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字段属性</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字段名称</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p>
        </w:tc>
        <w:tc>
          <w:tcPr>
            <w:tcW w:w="1168" w:type="dxa"/>
            <w:vMerge w:val="restart"/>
            <w:tcBorders>
              <w:top w:val="single" w:color="000000" w:sz="4" w:space="0"/>
              <w:left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基础数据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公司信息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公司编码、公司名称、公司电话、公司邮箱等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p>
        </w:tc>
        <w:tc>
          <w:tcPr>
            <w:tcW w:w="116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部门信息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部门编码、部门名称、部门负责人、上级机构等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p>
        </w:tc>
        <w:tc>
          <w:tcPr>
            <w:tcW w:w="116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工作中心信息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工作中心编码、工作中心名称、上级机构编码、上级机构名称等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4</w:t>
            </w:r>
          </w:p>
        </w:tc>
        <w:tc>
          <w:tcPr>
            <w:tcW w:w="116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班组能力信息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班组编码、班组名称、班组人数、班组产能周期、班组周期产量、上级机构编码、上级机构名称等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5</w:t>
            </w:r>
          </w:p>
        </w:tc>
        <w:tc>
          <w:tcPr>
            <w:tcW w:w="1168" w:type="dxa"/>
            <w:vMerge w:val="continue"/>
            <w:tcBorders>
              <w:left w:val="single" w:color="000000" w:sz="4" w:space="0"/>
              <w:right w:val="single" w:color="000000" w:sz="4" w:space="0"/>
            </w:tcBorders>
            <w:shd w:val="clear" w:color="auto" w:fill="auto"/>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人员信息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姓名、性别、电话、邮箱、上级机构编码、上级机构名称、岗位、角色等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6</w:t>
            </w:r>
          </w:p>
        </w:tc>
        <w:tc>
          <w:tcPr>
            <w:tcW w:w="1168"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班次信息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序号、班次名称、班次简称、上班时间、下班时间、时长等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7</w:t>
            </w:r>
          </w:p>
        </w:tc>
        <w:tc>
          <w:tcPr>
            <w:tcW w:w="1168"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工厂日历</w:t>
            </w:r>
          </w:p>
        </w:tc>
        <w:tc>
          <w:tcPr>
            <w:tcW w:w="5904"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工作中心、工序、班次、班组、日期范围、排班日期等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8</w:t>
            </w:r>
          </w:p>
        </w:tc>
        <w:tc>
          <w:tcPr>
            <w:tcW w:w="1168"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外协配置</w:t>
            </w:r>
          </w:p>
        </w:tc>
        <w:tc>
          <w:tcPr>
            <w:tcW w:w="5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序号、产品代码、产品名称、外协天数、外协厂商、编辑天数等</w:t>
            </w:r>
          </w:p>
        </w:tc>
      </w:tr>
      <w:tr>
        <w:tblPrEx>
          <w:tblCellMar>
            <w:top w:w="0" w:type="dxa"/>
            <w:left w:w="108" w:type="dxa"/>
            <w:bottom w:w="0" w:type="dxa"/>
            <w:right w:w="108" w:type="dxa"/>
          </w:tblCellMar>
        </w:tblPrEx>
        <w:trPr>
          <w:trHeight w:val="560" w:hRule="atLeast"/>
        </w:trPr>
        <w:tc>
          <w:tcPr>
            <w:tcW w:w="606" w:type="dxa"/>
            <w:tcBorders>
              <w:top w:val="single" w:color="auto" w:sz="4" w:space="0"/>
              <w:left w:val="single" w:color="auto"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9</w:t>
            </w:r>
          </w:p>
        </w:tc>
        <w:tc>
          <w:tcPr>
            <w:tcW w:w="1168"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auto" w:sz="4" w:space="0"/>
              <w:left w:val="single" w:color="000000" w:sz="4" w:space="0"/>
              <w:bottom w:val="single" w:color="auto"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炉容量信息</w:t>
            </w:r>
          </w:p>
        </w:tc>
        <w:tc>
          <w:tcPr>
            <w:tcW w:w="590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工作中心编码、工作中心名称、设备编码、设备名称、最大炉容量、最小炉容量、炉时、炉寿命、单天炉次、备注等</w:t>
            </w:r>
          </w:p>
        </w:tc>
      </w:tr>
      <w:tr>
        <w:tblPrEx>
          <w:tblCellMar>
            <w:top w:w="0" w:type="dxa"/>
            <w:left w:w="108" w:type="dxa"/>
            <w:bottom w:w="0" w:type="dxa"/>
            <w:right w:w="108" w:type="dxa"/>
          </w:tblCellMar>
        </w:tblPrEx>
        <w:trPr>
          <w:trHeight w:val="1120" w:hRule="atLeast"/>
        </w:trPr>
        <w:tc>
          <w:tcPr>
            <w:tcW w:w="606"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10</w:t>
            </w:r>
          </w:p>
        </w:tc>
        <w:tc>
          <w:tcPr>
            <w:tcW w:w="1168"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铸件号规则</w:t>
            </w:r>
          </w:p>
        </w:tc>
        <w:tc>
          <w:tcPr>
            <w:tcW w:w="5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产品分类编码、产品分类名称、产品代码、产品名称、铸件号规则、描述等</w:t>
            </w:r>
          </w:p>
        </w:tc>
      </w:tr>
      <w:tr>
        <w:tblPrEx>
          <w:tblCellMar>
            <w:top w:w="0" w:type="dxa"/>
            <w:left w:w="108" w:type="dxa"/>
            <w:bottom w:w="0" w:type="dxa"/>
            <w:right w:w="108" w:type="dxa"/>
          </w:tblCellMar>
        </w:tblPrEx>
        <w:trPr>
          <w:trHeight w:val="81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11</w:t>
            </w:r>
          </w:p>
        </w:tc>
        <w:tc>
          <w:tcPr>
            <w:tcW w:w="1168"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产品批次</w:t>
            </w:r>
          </w:p>
        </w:tc>
        <w:tc>
          <w:tcPr>
            <w:tcW w:w="5904" w:type="dxa"/>
            <w:tcBorders>
              <w:top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产品代码、产品名称、产品规格、材质、工序顺序号、标准工序码、工序名称、批次数，描述等</w:t>
            </w:r>
          </w:p>
        </w:tc>
      </w:tr>
      <w:tr>
        <w:tblPrEx>
          <w:tblCellMar>
            <w:top w:w="0" w:type="dxa"/>
            <w:left w:w="108" w:type="dxa"/>
            <w:bottom w:w="0" w:type="dxa"/>
            <w:right w:w="108" w:type="dxa"/>
          </w:tblCellMar>
        </w:tblPrEx>
        <w:trPr>
          <w:trHeight w:val="11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12</w:t>
            </w:r>
          </w:p>
        </w:tc>
        <w:tc>
          <w:tcPr>
            <w:tcW w:w="1168"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不合格信息</w:t>
            </w:r>
          </w:p>
        </w:tc>
        <w:tc>
          <w:tcPr>
            <w:tcW w:w="5904"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序号、工序编码、工序名称、不合格类型、不合格原因编码、不合格原因、创建时间、创建人等</w:t>
            </w:r>
          </w:p>
        </w:tc>
      </w:tr>
      <w:tr>
        <w:tblPrEx>
          <w:tblCellMar>
            <w:top w:w="0" w:type="dxa"/>
            <w:left w:w="108" w:type="dxa"/>
            <w:bottom w:w="0" w:type="dxa"/>
            <w:right w:w="108" w:type="dxa"/>
          </w:tblCellMar>
        </w:tblPrEx>
        <w:trPr>
          <w:trHeight w:val="11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13</w:t>
            </w:r>
          </w:p>
        </w:tc>
        <w:tc>
          <w:tcPr>
            <w:tcW w:w="1168"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交货提前期</w:t>
            </w:r>
          </w:p>
        </w:tc>
        <w:tc>
          <w:tcPr>
            <w:tcW w:w="5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工作中心编码、工作中心名称、产品分类编码、产品分类名称、提前期、描述等</w:t>
            </w:r>
          </w:p>
        </w:tc>
      </w:tr>
      <w:tr>
        <w:tblPrEx>
          <w:tblCellMar>
            <w:top w:w="0" w:type="dxa"/>
            <w:left w:w="108" w:type="dxa"/>
            <w:bottom w:w="0" w:type="dxa"/>
            <w:right w:w="108" w:type="dxa"/>
          </w:tblCellMar>
        </w:tblPrEx>
        <w:trPr>
          <w:trHeight w:val="81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14</w:t>
            </w:r>
          </w:p>
        </w:tc>
        <w:tc>
          <w:tcPr>
            <w:tcW w:w="1168" w:type="dxa"/>
            <w:vMerge w:val="continue"/>
            <w:tcBorders>
              <w:left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设备分类</w:t>
            </w:r>
          </w:p>
        </w:tc>
        <w:tc>
          <w:tcPr>
            <w:tcW w:w="590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设备类型编码、设备类型名称、描述等</w:t>
            </w:r>
          </w:p>
        </w:tc>
      </w:tr>
      <w:tr>
        <w:tblPrEx>
          <w:tblCellMar>
            <w:top w:w="0" w:type="dxa"/>
            <w:left w:w="108" w:type="dxa"/>
            <w:bottom w:w="0" w:type="dxa"/>
            <w:right w:w="108" w:type="dxa"/>
          </w:tblCellMar>
        </w:tblPrEx>
        <w:trPr>
          <w:trHeight w:val="5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15</w:t>
            </w:r>
          </w:p>
        </w:tc>
        <w:tc>
          <w:tcPr>
            <w:tcW w:w="1168" w:type="dxa"/>
            <w:vMerge w:val="continue"/>
            <w:tcBorders>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p>
        </w:tc>
        <w:tc>
          <w:tcPr>
            <w:tcW w:w="15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pStyle w:val="180"/>
              <w:rPr>
                <w:rFonts w:ascii="宋体" w:hAnsi="宋体" w:cs="宋体"/>
                <w:szCs w:val="18"/>
              </w:rPr>
            </w:pPr>
            <w:r>
              <w:rPr>
                <w:rFonts w:hint="eastAsia" w:ascii="宋体" w:hAnsi="宋体" w:cs="宋体"/>
                <w:szCs w:val="18"/>
              </w:rPr>
              <w:t>结账期</w:t>
            </w:r>
          </w:p>
        </w:tc>
        <w:tc>
          <w:tcPr>
            <w:tcW w:w="59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序号、结账开始时间、结账结束时间、结账时长、描述等</w:t>
            </w:r>
          </w:p>
        </w:tc>
      </w:tr>
    </w:tbl>
    <w:p>
      <w:pPr>
        <w:pStyle w:val="57"/>
        <w:numPr>
          <w:ilvl w:val="0"/>
          <w:numId w:val="35"/>
        </w:numPr>
        <w:ind w:firstLine="420"/>
      </w:pPr>
      <w:r>
        <w:rPr>
          <w:rFonts w:hint="eastAsia"/>
        </w:rPr>
        <w:br w:type="page"/>
      </w:r>
    </w:p>
    <w:p>
      <w:pPr>
        <w:pStyle w:val="58"/>
        <w:ind w:firstLine="420"/>
        <w:sectPr>
          <w:headerReference r:id="rId25" w:type="default"/>
          <w:footerReference r:id="rId27" w:type="default"/>
          <w:headerReference r:id="rId26" w:type="even"/>
          <w:footerReference r:id="rId28" w:type="even"/>
          <w:pgSz w:w="11906" w:h="16838"/>
          <w:pgMar w:top="2410" w:right="1134" w:bottom="1134" w:left="1134" w:header="1418" w:footer="1134" w:gutter="284"/>
          <w:cols w:space="425" w:num="1"/>
          <w:formProt w:val="0"/>
          <w:docGrid w:linePitch="312" w:charSpace="0"/>
        </w:sectPr>
      </w:pPr>
    </w:p>
    <w:p>
      <w:pPr>
        <w:pStyle w:val="200"/>
        <w:rPr>
          <w:vanish w:val="0"/>
        </w:rPr>
      </w:pPr>
    </w:p>
    <w:p>
      <w:pPr>
        <w:pStyle w:val="201"/>
        <w:rPr>
          <w:vanish w:val="0"/>
        </w:rPr>
      </w:pPr>
    </w:p>
    <w:p>
      <w:pPr>
        <w:pStyle w:val="78"/>
        <w:spacing w:before="60" w:after="120"/>
      </w:pPr>
      <w:r>
        <w:br w:type="textWrapping"/>
      </w:r>
      <w:bookmarkStart w:id="153" w:name="_Toc135229436"/>
      <w:r>
        <w:rPr>
          <w:rFonts w:hint="eastAsia"/>
        </w:rPr>
        <w:t>（资料性）</w:t>
      </w:r>
      <w:r>
        <w:br w:type="textWrapping"/>
      </w:r>
      <w:r>
        <w:rPr>
          <w:rFonts w:hint="eastAsia"/>
        </w:rPr>
        <w:t>MES与业务管理系统的接口信息交换</w:t>
      </w:r>
      <w:bookmarkEnd w:id="153"/>
    </w:p>
    <w:p>
      <w:pPr>
        <w:pStyle w:val="80"/>
        <w:spacing w:before="120" w:after="120"/>
        <w:rPr>
          <w:lang w:bidi="ar"/>
        </w:rPr>
      </w:pPr>
      <w:bookmarkStart w:id="154" w:name="_Toc135229437"/>
      <w:r>
        <w:rPr>
          <w:rFonts w:hint="eastAsia"/>
          <w:lang w:bidi="ar"/>
        </w:rPr>
        <w:t>生产运行管理类接口信息的交换</w:t>
      </w:r>
      <w:bookmarkEnd w:id="154"/>
    </w:p>
    <w:p>
      <w:pPr>
        <w:pStyle w:val="58"/>
        <w:ind w:firstLine="420"/>
      </w:pPr>
      <w:r>
        <w:rPr>
          <w:rFonts w:hint="eastAsia"/>
        </w:rPr>
        <w:t>MES与业务管理系统的生产运行管理类接口信息的交换主要是接收生产订单信息和工艺信息，并结合系统内设置的基础数据和既定的逻辑对数据进行处理排程，排程完成的数据下发相应执行系统进行执行操作并返回执行结果，由MES反写上层企业管理系统。MES与业务管理系统的生产运行管理类接口信息的交换示例如表B.1。</w:t>
      </w:r>
    </w:p>
    <w:p>
      <w:pPr>
        <w:pStyle w:val="79"/>
        <w:spacing w:before="120" w:after="120"/>
        <w:rPr>
          <w:lang w:bidi="ar"/>
        </w:rPr>
      </w:pPr>
      <w:r>
        <w:rPr>
          <w:rFonts w:hint="eastAsia"/>
          <w:lang w:bidi="ar"/>
        </w:rPr>
        <w:t>生产运行管理类接口信息的交换</w:t>
      </w:r>
    </w:p>
    <w:tbl>
      <w:tblPr>
        <w:tblStyle w:val="27"/>
        <w:tblW w:w="9210" w:type="dxa"/>
        <w:tblInd w:w="98" w:type="dxa"/>
        <w:tblLayout w:type="fixed"/>
        <w:tblCellMar>
          <w:top w:w="0" w:type="dxa"/>
          <w:left w:w="108" w:type="dxa"/>
          <w:bottom w:w="0" w:type="dxa"/>
          <w:right w:w="108" w:type="dxa"/>
        </w:tblCellMar>
      </w:tblPr>
      <w:tblGrid>
        <w:gridCol w:w="818"/>
        <w:gridCol w:w="1554"/>
        <w:gridCol w:w="926"/>
        <w:gridCol w:w="1151"/>
        <w:gridCol w:w="3585"/>
        <w:gridCol w:w="1176"/>
      </w:tblGrid>
      <w:tr>
        <w:tblPrEx>
          <w:tblCellMar>
            <w:top w:w="0" w:type="dxa"/>
            <w:left w:w="108" w:type="dxa"/>
            <w:bottom w:w="0" w:type="dxa"/>
            <w:right w:w="108" w:type="dxa"/>
          </w:tblCellMar>
        </w:tblPrEx>
        <w:trPr>
          <w:trHeight w:val="280" w:hRule="atLeast"/>
          <w:tblHead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接口字段信息</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源系统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目标系统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数据属性</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频率</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产品分类</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分类代码、分类名称、上级分类等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工作中心代码、名称、能力数量、能力周期、能力单位等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客户主数据</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客户代码、客户名称、客户类型、所在地址、联系人、联系电话等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客户订单信息</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销售订单号、产品代码、产品名称、规格、计划数量、净重、浇注重量、计量单位交货时间等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主生产计划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生产订单号、行号、产品代码、产品名称、规格、数量、计量单位、客户信息、交货时间、浇注重量、材质、牌号等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主计划变更申请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生产订单号、行号、产品代码、产品名称、变更内容、变更原因、变更时间等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变更时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原/辅材出库</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生产订单号、行号、产品代码、产品名称、出库数量、计量单位、出库时间、出库人等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工艺路线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生产订单号、行号、工序顺序号、工序标准码、工序名称、工时、工作中心等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物料BOM</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产品代码、产品名称、材质、图号、BOM层级、数量、计量单位、工序代码、工序名称等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工序汇报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生产订单号、行号、铸件号、工序顺序号、工序标准码、工序名称、工时、工作中心、报工数量、参与人、汇报人、报工时间等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工序汇报响应</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生产订单号、行号、铸件号、报工单号、工序顺序号、工序标准码、工序名称、工时、工作中心等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12</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报废汇报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生产订单号、行号、铸件号、工序顺序号、工序标准码、工序名称、工时、工作中心、报废数量、参与人、汇报人、报工时间、责任班组等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报废汇报响应</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生产订单号、行号、铸件号、报工单号、工序顺序号、工序标准码、工序名称、工时、工作中心、报废单号等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入库汇报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生产订单号、行号、铸件号工作中心、入库数量、入库时间、库位、入库人等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存货信息</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仓库代码、仓库名称、库位代码、库位名称、数量、计量单位、材质、规格、产品编码、产品名称等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入库汇报响应</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生产订单号、行号、铸件号工作中心、入库数量、入库单号等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发货计划信息</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销售发货单、客户信息、产品代码、产品名称、规格、数量、计量单位、计划开始时间、计划完成时间等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发货实绩信息</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发货计划号、客户订单号、蟾皮你代码、产品名称、规格、数量、计划单位、发货时间、发货人等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发货计划变更请求</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发货计划号、变更内容、变更时间、变更原因等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变更时</w:t>
            </w:r>
          </w:p>
        </w:tc>
      </w:tr>
      <w:tr>
        <w:tblPrEx>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20</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质量规范信息</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PDM/PLM...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产品代码、产品名称、版本号、工序顺序号、工序代码、工序名称、检验类型代码、检验类型名称、最大值、标准值、最小值等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21</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生产辅具信息</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PDM/PLM...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工序顺序号、工序代码、工序名称、工时、工作中心、生产辅具代码、生产辅具名称、加工设备等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22</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技术文档</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PDM/PLM...</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产品代码、产品名称、工序顺序号、工序代码、工序名称、版本号、图纸、作业指导书</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23</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产品分类</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分类代码、分类名称、上级分类等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24</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产品主数据</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物料代码、物料名称、规格、材质、图号、物料分类计量单位，浇注重量等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25</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主生产计划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生产订单号、行号、产品代码、产品名称、规格、铸件号、数量、计量单位、客户信息、交货时间、净重、材质、牌号等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26</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工艺路线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生产订单号、行号、工序顺序号、工序标准码、工序名称、工时、工作中心等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27</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物料BOM</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产品代码、产品名称、材质、图号、BOM层级、数量、计量单位、工序代码、工序名称等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28</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工序汇报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生产订单号、行号、铸件号、炉次号、包次号、工序顺序号、工序标准码、工序名称、工时、工作中心、报工数量、参与人、汇报人、报工时间等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29</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工序汇报响应</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生产订单号、行号、铸件号、炉次号、包次号、主键、工序顺序号、工序标准码、工序名称、工时、工作中心等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4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报废汇报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生产订单号、行号、铸件号、炉次号、包次号、工序顺序号、工序标准码、工序名称、工时、工作中心、报废数量、参与人、汇报人、报工时间、责任班组等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报废汇报响应</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生产订单号、行号、铸件号、炉次号、包次号、主键、工序顺序号、工序标准码、工序名称、工时、工作中心、主键等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32</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质量汇报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 、炉次号、包次号、产品代码、产品名称、数量、重量、铸件号、最大值、标准值、最小值、实测值等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33</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质量汇报响应</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 、产品代码、产品名称、数量、重量、铸件号、汇报时间、汇报人、主键等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34</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设备参数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设备代码、设备名称、产品代码、产品名称、工序顺序号、工序标准码、工序名称、主轴转速、电耗、电机功率、进给速率等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35</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设备参数响应</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设备代码、设备名称、产品代码、产品名称、工序顺序号、工序标准码、工序名称、记录时间、主键等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36</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主计划撤销</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生产订单号、行号、产品代码、产品名称、图号、材质、版本、数量、净重等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37</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主计划撤销响应</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生产订单号、行号、产品代码、产品名称、图号、材质、版本、数量、净重、主键等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bl>
    <w:p>
      <w:pPr>
        <w:pStyle w:val="80"/>
        <w:spacing w:before="120" w:after="120"/>
      </w:pPr>
      <w:bookmarkStart w:id="155" w:name="_Toc135229438"/>
      <w:r>
        <w:rPr>
          <w:rFonts w:hint="eastAsia"/>
          <w:lang w:bidi="ar"/>
        </w:rPr>
        <w:t>质量管理类接口信息的交换</w:t>
      </w:r>
      <w:bookmarkEnd w:id="155"/>
    </w:p>
    <w:p>
      <w:pPr>
        <w:pStyle w:val="58"/>
        <w:ind w:firstLine="420"/>
      </w:pPr>
      <w:r>
        <w:rPr>
          <w:rFonts w:hint="eastAsia"/>
        </w:rPr>
        <w:t>MES与业务管理系统的质量管理类接口信息的交换主要是原材料检测、力学性能检测、成份检测、缺陷检测、生产过程尺寸检测等信息交换，用于生产计划执行过程中的质量监控管理，提升产品的质量，提高产品合格率。MES与业务管理系统的质量管理类接口信息的交换示例如表B.2。</w:t>
      </w:r>
    </w:p>
    <w:p>
      <w:pPr>
        <w:pStyle w:val="79"/>
        <w:spacing w:before="120" w:after="120"/>
        <w:rPr>
          <w:lang w:bidi="ar"/>
        </w:rPr>
      </w:pPr>
      <w:r>
        <w:rPr>
          <w:rFonts w:hint="eastAsia"/>
          <w:lang w:bidi="ar"/>
        </w:rPr>
        <w:t xml:space="preserve"> 质量管理类接口信息的交换</w:t>
      </w:r>
    </w:p>
    <w:tbl>
      <w:tblPr>
        <w:tblStyle w:val="27"/>
        <w:tblW w:w="9240" w:type="dxa"/>
        <w:tblInd w:w="98" w:type="dxa"/>
        <w:tblLayout w:type="fixed"/>
        <w:tblCellMar>
          <w:top w:w="0" w:type="dxa"/>
          <w:left w:w="108" w:type="dxa"/>
          <w:bottom w:w="0" w:type="dxa"/>
          <w:right w:w="108" w:type="dxa"/>
        </w:tblCellMar>
      </w:tblPr>
      <w:tblGrid>
        <w:gridCol w:w="757"/>
        <w:gridCol w:w="1583"/>
        <w:gridCol w:w="992"/>
        <w:gridCol w:w="1100"/>
        <w:gridCol w:w="3650"/>
        <w:gridCol w:w="1158"/>
      </w:tblGrid>
      <w:tr>
        <w:tblPrEx>
          <w:tblCellMar>
            <w:top w:w="0" w:type="dxa"/>
            <w:left w:w="108" w:type="dxa"/>
            <w:bottom w:w="0" w:type="dxa"/>
            <w:right w:w="108" w:type="dxa"/>
          </w:tblCellMar>
        </w:tblPrEx>
        <w:trPr>
          <w:trHeight w:val="280" w:hRule="atLeast"/>
          <w:tblHead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接口字段信息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源系统</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目标系统</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数据属性</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频率</w:t>
            </w:r>
          </w:p>
        </w:tc>
      </w:tr>
      <w:tr>
        <w:tblPrEx>
          <w:tblCellMar>
            <w:top w:w="0" w:type="dxa"/>
            <w:left w:w="108" w:type="dxa"/>
            <w:bottom w:w="0" w:type="dxa"/>
            <w:right w:w="108" w:type="dxa"/>
          </w:tblCellMar>
        </w:tblPrEx>
        <w:trPr>
          <w:trHeight w:val="2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原辅材料检测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LIMS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原辅材料检验单、外观要求、尺寸要求、物理机械性能要求等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原辅材料检测或质检指令下达</w:t>
            </w:r>
          </w:p>
        </w:tc>
      </w:tr>
      <w:tr>
        <w:tblPrEx>
          <w:tblCellMar>
            <w:top w:w="0" w:type="dxa"/>
            <w:left w:w="108" w:type="dxa"/>
            <w:bottom w:w="0" w:type="dxa"/>
            <w:right w:w="108" w:type="dxa"/>
          </w:tblCellMar>
        </w:tblPrEx>
        <w:trPr>
          <w:trHeight w:val="2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力学性能检测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LIMS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炉次、产品代码、数量、产品名称、图号、工厂、铸件号、工序信息、检测要求等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力学性能检测或质检指令下达</w:t>
            </w:r>
          </w:p>
        </w:tc>
      </w:tr>
      <w:tr>
        <w:tblPrEx>
          <w:tblCellMar>
            <w:top w:w="0" w:type="dxa"/>
            <w:left w:w="108" w:type="dxa"/>
            <w:bottom w:w="0" w:type="dxa"/>
            <w:right w:w="108" w:type="dxa"/>
          </w:tblCellMar>
        </w:tblPrEx>
        <w:trPr>
          <w:trHeight w:val="2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无损检测 UT/MT/PT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LIMS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炉次、产品代码、数量、产品名称、图号、工厂、铸件号、工序信息、UT记录要求、MT记录要求、PT记录要求、备注等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无损检测或质检指令下达</w:t>
            </w:r>
          </w:p>
        </w:tc>
      </w:tr>
      <w:tr>
        <w:tblPrEx>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尺寸检测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LIMS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炉次、产品代码、数量、产品名称、图号、工厂、铸件号、图纸位置，标准值，单位，实测值，结果判定（自动）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尺寸检测或质检指令下达</w:t>
            </w: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本体硬度检测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LIMS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炉次、产品代码、数量、产品名称、图号、工厂、铸件号、标准值，单位，数量、实测值等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本体硬度检测或质检指令下达</w:t>
            </w: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6</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检测结果反馈</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LIMS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检测批次、检测项目、检测结果、检测设备、检测人员、检测时间等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检测结果报送</w:t>
            </w: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7</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质检结果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移动终端</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质量检验结果传输、质检产品名称等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质检信息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移动终端</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产品信息，质检标准参数等信息</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9</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质检结果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成型智能单元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质量检验结果传输、质检产品名称等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质检信息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成型智能单元</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产品信息，质检标准参数等信息</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质检结果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熔炼智能单元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质量检验结果传输、质检产品名称等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质检信息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熔炼智能单元</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产品信息，质检标准参数等信息</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13</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质检结果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后处理智能单元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质量检验结果传输、质检产品名称等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质检信息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后处理智能单元</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产品信息，质检标准参数等信息</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质检结果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加工智能单元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质量检验结果传输、质检产品名称等</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16</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质检信息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加工智能单元</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产品信息，质检标准参数等信息</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bl>
    <w:p>
      <w:pPr>
        <w:pStyle w:val="80"/>
        <w:spacing w:before="120" w:after="120"/>
      </w:pPr>
      <w:bookmarkStart w:id="156" w:name="_Toc135229439"/>
      <w:r>
        <w:rPr>
          <w:rFonts w:hint="eastAsia"/>
          <w:lang w:bidi="ar"/>
        </w:rPr>
        <w:t>生产辅具管理类接口信息的交换</w:t>
      </w:r>
      <w:bookmarkEnd w:id="156"/>
    </w:p>
    <w:p>
      <w:pPr>
        <w:pStyle w:val="58"/>
        <w:ind w:firstLine="420"/>
      </w:pPr>
      <w:r>
        <w:rPr>
          <w:rFonts w:hint="eastAsia"/>
        </w:rPr>
        <w:t>MES与生产管理系统的生产辅具管理类接口信息的交换主要是模具库存状态及数量、生产辅具点检、生产辅具保养、生产辅具维修、生产辅具报废等信息交换，用于生产计划的编排和模具的日常运行管理，提高生产计划编排的准确性和生产辅具的使用寿命。MES与业务管理系统的生产辅具管理类接口信息的交换示例如表B.3。</w:t>
      </w:r>
    </w:p>
    <w:p>
      <w:pPr>
        <w:pStyle w:val="79"/>
        <w:spacing w:before="120" w:after="120"/>
        <w:rPr>
          <w:lang w:bidi="ar"/>
        </w:rPr>
      </w:pPr>
      <w:r>
        <w:rPr>
          <w:rFonts w:hint="eastAsia"/>
          <w:lang w:bidi="ar"/>
        </w:rPr>
        <w:t>生产辅具管理类接口信息的交换</w:t>
      </w:r>
    </w:p>
    <w:tbl>
      <w:tblPr>
        <w:tblStyle w:val="27"/>
        <w:tblW w:w="9210" w:type="dxa"/>
        <w:tblInd w:w="98" w:type="dxa"/>
        <w:tblLayout w:type="fixed"/>
        <w:tblCellMar>
          <w:top w:w="0" w:type="dxa"/>
          <w:left w:w="108" w:type="dxa"/>
          <w:bottom w:w="0" w:type="dxa"/>
          <w:right w:w="108" w:type="dxa"/>
        </w:tblCellMar>
      </w:tblPr>
      <w:tblGrid>
        <w:gridCol w:w="780"/>
        <w:gridCol w:w="1582"/>
        <w:gridCol w:w="975"/>
        <w:gridCol w:w="1083"/>
        <w:gridCol w:w="3648"/>
        <w:gridCol w:w="1142"/>
      </w:tblGrid>
      <w:tr>
        <w:tblPrEx>
          <w:tblCellMar>
            <w:top w:w="0" w:type="dxa"/>
            <w:left w:w="108" w:type="dxa"/>
            <w:bottom w:w="0" w:type="dxa"/>
            <w:right w:w="108" w:type="dxa"/>
          </w:tblCellMar>
        </w:tblPrEx>
        <w:trPr>
          <w:trHeight w:val="280" w:hRule="atLeast"/>
          <w:tblHeader/>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接口字段信息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源系统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目标系统</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数据属性</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频率</w:t>
            </w:r>
          </w:p>
        </w:tc>
      </w:tr>
      <w:tr>
        <w:tblPrEx>
          <w:tblCellMar>
            <w:top w:w="0" w:type="dxa"/>
            <w:left w:w="108" w:type="dxa"/>
            <w:bottom w:w="0" w:type="dxa"/>
            <w:right w:w="108" w:type="dxa"/>
          </w:tblCellMar>
        </w:tblPrEx>
        <w:trPr>
          <w:trHeight w:val="1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生产辅具库存信息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生产辅具类别代码、生产辅具类别名称、规格、数量、生产辅具实体编码、生产辅具实体名称、仓库编码、仓库名称、状态、寿命、、生产时间、生产厂家等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生产辅具入库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APP</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生产辅具类别代码、生产辅具类别名称、规格、数量、生产辅具实体编码、生产辅具实体名称、仓库编码、仓库名称、状态、寿命、入库时间、入库人等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生产辅具出库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APP</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生产辅具类别代码、生产辅具类别名称、规格、数量、生产辅具实体编码、生产辅具实体名称、仓库编码、仓库名称、状态、寿命、出库时间、领用人等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生产辅具保养计划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APP</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生产辅具类别代码、生产辅具类别名称、规格、数量、生产辅具实体编码、生产辅具实体名称、仓库编码、仓库名称、状态、寿命、保养内容、保养周期等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生产辅具保养汇报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APP</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生产辅具类别代码、生产辅具类别名称、规格、数量、生产辅具实体编码、生产辅具实体名称、仓库编码、仓库名称、状态、寿命、保养汇报时间、保养汇报人等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6</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生产辅具维修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APP</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生产辅具类别代码、生产辅具类别名称、规格、数量、生产辅具实体编码、生产辅具实体名称、仓库编码、仓库名称、状态、寿命、维修详情、维修负责人等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7</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生产辅具维修汇报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APP</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生产辅具类别代码、生产辅具类别名称、规格、数量、生产辅具实体编码、生产辅具实体名称、仓库编码、仓库名称、状态、寿命、维修汇报时间、维修汇报人等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生产辅具报废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APP</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生产辅具类别代码、生产辅具类别名称、规格、数量、生产辅具实体编码、生产辅具实体名称、仓库编码、仓库名称、状态、寿命、报废原因、申请人等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9</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生产辅具报废审批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APP</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生产辅具类别代码、生产辅具类别名称、规格、数量、生产辅具实体编码、生产辅具实体名称、仓库编码、仓库名称、状态、寿命、结论、审核人等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库存状态变更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辅具代码、辅具名称、数量、使用产品类别、工序编码、工序名称、辅具状态、变更原因等</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变更时</w:t>
            </w:r>
          </w:p>
        </w:tc>
      </w:tr>
    </w:tbl>
    <w:p>
      <w:pPr>
        <w:pStyle w:val="80"/>
        <w:spacing w:before="120" w:after="120"/>
      </w:pPr>
      <w:bookmarkStart w:id="157" w:name="_Toc135229440"/>
      <w:r>
        <w:rPr>
          <w:rFonts w:hint="eastAsia"/>
          <w:lang w:bidi="ar"/>
        </w:rPr>
        <w:t>设备管理类接口信息的交换</w:t>
      </w:r>
      <w:bookmarkEnd w:id="157"/>
    </w:p>
    <w:p>
      <w:pPr>
        <w:pStyle w:val="58"/>
        <w:ind w:firstLine="420"/>
      </w:pPr>
      <w:r>
        <w:rPr>
          <w:rFonts w:hint="eastAsia"/>
        </w:rPr>
        <w:t>MES与业务管理系统的设备管理类接口信息的交换主要是设备台账状态设备点检、设备保养、设备维修、备品备件出入库等信息交换，用于设备的日常运行管理，提高设备的使用寿命，降低设备异常频次。MES与业务管理系统的设备管理类接口信息的交换示例如表B.4。</w:t>
      </w:r>
    </w:p>
    <w:p>
      <w:pPr>
        <w:pStyle w:val="79"/>
        <w:spacing w:before="120" w:after="120"/>
        <w:rPr>
          <w:lang w:bidi="ar"/>
        </w:rPr>
      </w:pPr>
      <w:r>
        <w:rPr>
          <w:rFonts w:hint="eastAsia"/>
          <w:lang w:bidi="ar"/>
        </w:rPr>
        <w:t>设备管理类接口信息的交换</w:t>
      </w:r>
    </w:p>
    <w:tbl>
      <w:tblPr>
        <w:tblStyle w:val="27"/>
        <w:tblW w:w="9240" w:type="dxa"/>
        <w:tblInd w:w="98" w:type="dxa"/>
        <w:tblLayout w:type="fixed"/>
        <w:tblCellMar>
          <w:top w:w="0" w:type="dxa"/>
          <w:left w:w="108" w:type="dxa"/>
          <w:bottom w:w="0" w:type="dxa"/>
          <w:right w:w="108" w:type="dxa"/>
        </w:tblCellMar>
      </w:tblPr>
      <w:tblGrid>
        <w:gridCol w:w="732"/>
        <w:gridCol w:w="1591"/>
        <w:gridCol w:w="984"/>
        <w:gridCol w:w="1133"/>
        <w:gridCol w:w="3675"/>
        <w:gridCol w:w="1125"/>
      </w:tblGrid>
      <w:tr>
        <w:tblPrEx>
          <w:tblCellMar>
            <w:top w:w="0" w:type="dxa"/>
            <w:left w:w="108" w:type="dxa"/>
            <w:bottom w:w="0" w:type="dxa"/>
            <w:right w:w="108" w:type="dxa"/>
          </w:tblCellMar>
        </w:tblPrEx>
        <w:trPr>
          <w:trHeight w:val="280" w:hRule="atLeast"/>
          <w:tblHead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接口字段信息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源系统</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目标系统</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数据属性</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频率</w:t>
            </w:r>
          </w:p>
        </w:tc>
      </w:tr>
      <w:tr>
        <w:tblPrEx>
          <w:tblCellMar>
            <w:top w:w="0" w:type="dxa"/>
            <w:left w:w="108" w:type="dxa"/>
            <w:bottom w:w="0" w:type="dxa"/>
            <w:right w:w="108" w:type="dxa"/>
          </w:tblCellMar>
        </w:tblPrEx>
        <w:trPr>
          <w:trHeight w:val="84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设备厂家信息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设备厂家代码、设备厂家名称、厂家分类、所在地址、联系人、联系电话等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12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设备台账信息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设备代码、设备名称、使用车间、工序代码、工序名称、MAC地址、生产厂家、联系人、设备负责人、设备维保人等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设备状态变更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设备代码、设备名称、使用车间、工序代码、工序名称、MAC地址、生产厂家、联系人、设备负责人、设备维保人、设备状态、状态变更原因等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4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8</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备品备件入库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物料代码、物料名称、数量、计量单位、供货厂家、厂家地址、入库时间等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9</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备品备件出库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物料代码、物料名称、数量、计量单位、使用设备、出库时间等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设备故障信息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设备代码、故障代码、故障名称、提报人、预防方案、解决措施等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设备点检实绩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设备代码、设备名称、点检内容、开始时间、完成时间、负责人等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12</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设备保养实绩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设备代码、设备名称、保养内容、备件领用、开始时间、完成时间、负责人等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13</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设备维修实绩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设备代码、设备名称、保养内容、备件领用、开始时间、完成时间、负责人等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设备运行信息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设备代码、时间段、时段开动率、综合效率等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设备信息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移动终端</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设备台账、维修标准、保养计划等信息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56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设备结果</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移动终端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维修结论、保养结果等信息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412"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制芯、造型数采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成型智能单元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制芯计划、产品名称、产品代码、产品图号、产品批次、顾客名称、产品数量、砂芯名称、砂芯批次、计划数量、芯盒参数、工艺路线、造型计划、产品名称、产品代码、产品图号、产品材质、型板名称（编号）、造型批次（铸字号）、顾客名称、工艺路线、计划箱数、计划件数、模重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制芯、造型数采或数采指令下达</w:t>
            </w:r>
          </w:p>
        </w:tc>
      </w:tr>
      <w:tr>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混砂机数采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成型智能单元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状态（运行，待机，报警）、设备运行时长、沸腾床风量、沸腾床风压、砂温、风机设备状态、风机运行时长、除尘滤袋压差、除尘器排放浓度、排灰量、配比编号/配比设定值、紧实率设定值、旧砂加入比、新砂加入比、膨润土加入比、煤粉加入比、灰分加入比、水加入比、加料顺序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混砂机数采或数采指令下达</w:t>
            </w:r>
          </w:p>
        </w:tc>
      </w:tr>
      <w:tr>
        <w:tblPrEx>
          <w:tblCellMar>
            <w:top w:w="0" w:type="dxa"/>
            <w:left w:w="108" w:type="dxa"/>
            <w:bottom w:w="0" w:type="dxa"/>
            <w:right w:w="108" w:type="dxa"/>
          </w:tblCellMar>
        </w:tblPrEx>
        <w:trPr>
          <w:trHeight w:val="314"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26</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浇注机数采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熔炼智能单元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状态、浇筑状态、衰退时间、后白口、砂箱号、浇注工位、浇注开始时间、浇注结束时间、浇注重量（预计）、浇注重量（实际）、浇注温度、孕育剂代码、孕育剂名称、孕育剂比例、孕育剂标准数量、孕育剂实际数量、浇注情况说明、浇注人员、本炉能耗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浇注机数采或数采指令下达</w:t>
            </w:r>
          </w:p>
        </w:tc>
      </w:tr>
      <w:tr>
        <w:tblPrEx>
          <w:tblCellMar>
            <w:top w:w="0" w:type="dxa"/>
            <w:left w:w="108" w:type="dxa"/>
            <w:bottom w:w="0" w:type="dxa"/>
            <w:right w:w="108" w:type="dxa"/>
          </w:tblCellMar>
        </w:tblPrEx>
        <w:trPr>
          <w:trHeight w:val="314"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27</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后处理设备数采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后处理智能单元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订单号、热处理炉次号、熔炼炉次号、工序名称、产品名称、产品代码、产品图号、顾客、标准曲线、产品保温温度、产品保温时长、出窑温度、出窑信号、参数下发完成、曲线开始时间、热处理开始时间、热处理开始信号、保温开始时间、实时温度、降温时长、降温速率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后处理数采或数采指令下达</w:t>
            </w:r>
          </w:p>
        </w:tc>
      </w:tr>
      <w:tr>
        <w:tblPrEx>
          <w:tblCellMar>
            <w:top w:w="0" w:type="dxa"/>
            <w:left w:w="108" w:type="dxa"/>
            <w:bottom w:w="0" w:type="dxa"/>
            <w:right w:w="108" w:type="dxa"/>
          </w:tblCellMar>
        </w:tblPrEx>
        <w:trPr>
          <w:trHeight w:val="314"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28</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加工关键设备数采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加工智能单元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到加工时间、刀加工次数、主轴转速、进给轴转速、加工周期时间、当班产量、总产量、稼动率、良品率、OEE、加工、待机、故障、停机及各种状态持续时间等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加工设备数采或数采指令下达</w:t>
            </w:r>
          </w:p>
        </w:tc>
      </w:tr>
      <w:tr>
        <w:tblPrEx>
          <w:tblCellMar>
            <w:top w:w="0" w:type="dxa"/>
            <w:left w:w="108" w:type="dxa"/>
            <w:bottom w:w="0" w:type="dxa"/>
            <w:right w:w="108" w:type="dxa"/>
          </w:tblCellMar>
        </w:tblPrEx>
        <w:trPr>
          <w:trHeight w:val="314"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29</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能源仪表数采</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各智能单元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电压、电流、频率、功率因数、功率、有功电能、无功电能累计、复费率统计、电能脉冲输出、频率等等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能源仪表数采或数采指令下达</w:t>
            </w:r>
          </w:p>
        </w:tc>
      </w:tr>
      <w:tr>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设备报警</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各智能单元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设备编码、设备名称、设备点位、报警数据等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故障情况报送</w:t>
            </w:r>
          </w:p>
        </w:tc>
      </w:tr>
      <w:tr>
        <w:tblPrEx>
          <w:tblCellMar>
            <w:top w:w="0" w:type="dxa"/>
            <w:left w:w="108" w:type="dxa"/>
            <w:bottom w:w="0" w:type="dxa"/>
            <w:right w:w="108" w:type="dxa"/>
          </w:tblCellMar>
        </w:tblPrEx>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31</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数采结果反馈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各智能单元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设备状态、数采内容、数采数量、数采时间、数采人员等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数采结果报送</w:t>
            </w:r>
          </w:p>
        </w:tc>
      </w:tr>
    </w:tbl>
    <w:p>
      <w:pPr>
        <w:pStyle w:val="80"/>
        <w:spacing w:before="120" w:after="120"/>
      </w:pPr>
      <w:bookmarkStart w:id="158" w:name="_Toc135229441"/>
      <w:r>
        <w:rPr>
          <w:rFonts w:hint="eastAsia"/>
          <w:lang w:bidi="ar"/>
        </w:rPr>
        <w:t>仓储管理类接口信息的交换</w:t>
      </w:r>
      <w:bookmarkEnd w:id="158"/>
    </w:p>
    <w:p>
      <w:pPr>
        <w:pStyle w:val="58"/>
        <w:ind w:firstLine="420"/>
      </w:pPr>
      <w:r>
        <w:rPr>
          <w:rFonts w:hint="eastAsia"/>
        </w:rPr>
        <w:t>MES与业务管理系统的仓储管理类接口信息的交换主要是产品的出/入库、仓库内产品位置的调拨、仓库能力的展示、仓库库位存储情况等信息交换，为生产现场产品的快速周转和快速查询提供便捷，更加有效的利用有限空间的生产场地。MES与业务管理系统的仓储管理类接口信息的交换示例如表B.5。</w:t>
      </w:r>
    </w:p>
    <w:p>
      <w:pPr>
        <w:pStyle w:val="79"/>
        <w:spacing w:before="120" w:after="120"/>
        <w:rPr>
          <w:lang w:bidi="ar"/>
        </w:rPr>
      </w:pPr>
      <w:r>
        <w:rPr>
          <w:rFonts w:hint="eastAsia"/>
          <w:lang w:bidi="ar"/>
        </w:rPr>
        <w:t>仓储管理类接口信息的交换</w:t>
      </w:r>
    </w:p>
    <w:tbl>
      <w:tblPr>
        <w:tblStyle w:val="27"/>
        <w:tblW w:w="9240" w:type="dxa"/>
        <w:tblInd w:w="98" w:type="dxa"/>
        <w:tblLayout w:type="fixed"/>
        <w:tblCellMar>
          <w:top w:w="0" w:type="dxa"/>
          <w:left w:w="108" w:type="dxa"/>
          <w:bottom w:w="0" w:type="dxa"/>
          <w:right w:w="108" w:type="dxa"/>
        </w:tblCellMar>
      </w:tblPr>
      <w:tblGrid>
        <w:gridCol w:w="761"/>
        <w:gridCol w:w="1576"/>
        <w:gridCol w:w="954"/>
        <w:gridCol w:w="1153"/>
        <w:gridCol w:w="3679"/>
        <w:gridCol w:w="1117"/>
      </w:tblGrid>
      <w:tr>
        <w:tblPrEx>
          <w:tblCellMar>
            <w:top w:w="0" w:type="dxa"/>
            <w:left w:w="108" w:type="dxa"/>
            <w:bottom w:w="0" w:type="dxa"/>
            <w:right w:w="108" w:type="dxa"/>
          </w:tblCellMar>
        </w:tblPrEx>
        <w:trPr>
          <w:trHeight w:val="280" w:hRule="atLeast"/>
          <w:tblHead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序号</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接口字段信息</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源系统</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目标系统</w:t>
            </w:r>
          </w:p>
        </w:tc>
        <w:tc>
          <w:tcPr>
            <w:tcW w:w="3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数据属性</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频率</w:t>
            </w:r>
          </w:p>
        </w:tc>
      </w:tr>
      <w:tr>
        <w:tblPrEx>
          <w:tblCellMar>
            <w:top w:w="0" w:type="dxa"/>
            <w:left w:w="108" w:type="dxa"/>
            <w:bottom w:w="0" w:type="dxa"/>
            <w:right w:w="108" w:type="dxa"/>
          </w:tblCellMar>
        </w:tblPrEx>
        <w:trPr>
          <w:trHeight w:val="8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库存存储定义</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WMS</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仓库代号、仓库名称、库存规则代码、规则内容、库位优先级等</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40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2</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入库指令</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WMS</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生产订单号、行号、产品代码、产品名称、数量、铸件号、计量单位、入库类型、库区代码、预定库位、预定入库时间等</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3</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出库指令</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WMS</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生产订单号、行号、产品代码、产品名称、数量、铸件号、计量单位、预定出库时间等</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40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4</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入库实绩</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WMS</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生产订单号、行号、产品代码、产品名称、数量、铸件号、计量单位、入库类型、库区代码、库位、入库时间、入库人等</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1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5</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出库实绩</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WMS</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生产订单号、行号、产品代码、产品名称、数量、铸件号、计量单位、出库时间、出库人等</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140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6</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移库指令</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WMS</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生产订单号、行号、产品代码、产品名称、数量、铸件号、计量单位、库位代码、库位名称、目的库区代码、目的库位代码等</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变更时</w:t>
            </w:r>
          </w:p>
        </w:tc>
      </w:tr>
      <w:tr>
        <w:tblPrEx>
          <w:tblCellMar>
            <w:top w:w="0" w:type="dxa"/>
            <w:left w:w="108" w:type="dxa"/>
            <w:bottom w:w="0" w:type="dxa"/>
            <w:right w:w="108" w:type="dxa"/>
          </w:tblCellMar>
        </w:tblPrEx>
        <w:trPr>
          <w:trHeight w:val="16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7</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移库实绩</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WMS</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生产订单号、行号、产品代码、产品名称、数量、铸件号、计量单位、库位代码、库位名称、目的库区代码、目的库位代码、移库时间、移库人等</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w:t>
            </w:r>
          </w:p>
        </w:tc>
      </w:tr>
      <w:tr>
        <w:tblPrEx>
          <w:tblCellMar>
            <w:top w:w="0" w:type="dxa"/>
            <w:left w:w="108" w:type="dxa"/>
            <w:bottom w:w="0" w:type="dxa"/>
            <w:right w:w="108" w:type="dxa"/>
          </w:tblCellMar>
        </w:tblPrEx>
        <w:trPr>
          <w:trHeight w:val="84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8</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库存信息（能力）</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WMS</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库存总库位、空库位数、半空库位数、产品代码、产品名称等</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形成时、变更时</w:t>
            </w:r>
          </w:p>
        </w:tc>
      </w:tr>
    </w:tbl>
    <w:p>
      <w:pPr>
        <w:pStyle w:val="80"/>
        <w:spacing w:before="120" w:after="120"/>
      </w:pPr>
      <w:bookmarkStart w:id="159" w:name="_Toc135229442"/>
      <w:r>
        <w:rPr>
          <w:rFonts w:hint="eastAsia"/>
          <w:lang w:bidi="ar"/>
        </w:rPr>
        <w:t>基础数据管理类接口信息的交换</w:t>
      </w:r>
      <w:bookmarkEnd w:id="159"/>
    </w:p>
    <w:p>
      <w:pPr>
        <w:pStyle w:val="58"/>
        <w:ind w:firstLine="420"/>
      </w:pPr>
      <w:r>
        <w:rPr>
          <w:rFonts w:hint="eastAsia"/>
        </w:rPr>
        <w:t>MES与业务管理系统的基础数据管理类接口信息的交换主要是组织架构信息、产品工艺信息的交换，用于系统的数据运算处理和系统使用权限的分配。MES内部维护基础数据主要用于数据的处理并推送到相应执行系统进行数据执行。MES与业务管理系统的基础数据管理类接口信息的交换示例如表B.6。</w:t>
      </w:r>
    </w:p>
    <w:p>
      <w:pPr>
        <w:pStyle w:val="79"/>
        <w:spacing w:before="120" w:after="120"/>
        <w:rPr>
          <w:lang w:bidi="ar"/>
        </w:rPr>
      </w:pPr>
      <w:r>
        <w:rPr>
          <w:rFonts w:hint="eastAsia"/>
          <w:lang w:bidi="ar"/>
        </w:rPr>
        <w:t>基础数据管理类接口信息的交换</w:t>
      </w:r>
    </w:p>
    <w:tbl>
      <w:tblPr>
        <w:tblStyle w:val="27"/>
        <w:tblW w:w="9225" w:type="dxa"/>
        <w:tblInd w:w="98" w:type="dxa"/>
        <w:tblLayout w:type="fixed"/>
        <w:tblCellMar>
          <w:top w:w="0" w:type="dxa"/>
          <w:left w:w="108" w:type="dxa"/>
          <w:bottom w:w="0" w:type="dxa"/>
          <w:right w:w="108" w:type="dxa"/>
        </w:tblCellMar>
      </w:tblPr>
      <w:tblGrid>
        <w:gridCol w:w="765"/>
        <w:gridCol w:w="1264"/>
        <w:gridCol w:w="900"/>
        <w:gridCol w:w="1125"/>
        <w:gridCol w:w="4230"/>
        <w:gridCol w:w="941"/>
      </w:tblGrid>
      <w:tr>
        <w:tblPrEx>
          <w:tblCellMar>
            <w:top w:w="0" w:type="dxa"/>
            <w:left w:w="108" w:type="dxa"/>
            <w:bottom w:w="0" w:type="dxa"/>
            <w:right w:w="108" w:type="dxa"/>
          </w:tblCellMar>
        </w:tblPrEx>
        <w:trPr>
          <w:trHeight w:val="280" w:hRule="atLeast"/>
          <w:tblHead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接口字段信息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源系统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目标系统</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数据属性</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频率</w:t>
            </w:r>
          </w:p>
        </w:tc>
      </w:tr>
      <w:tr>
        <w:tblPrEx>
          <w:tblCellMar>
            <w:top w:w="0" w:type="dxa"/>
            <w:left w:w="108" w:type="dxa"/>
            <w:bottom w:w="0" w:type="dxa"/>
            <w:right w:w="108" w:type="dxa"/>
          </w:tblCellMar>
        </w:tblPrEx>
        <w:trPr>
          <w:trHeight w:val="5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产品分类</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分类代码、分类名称、上级分类等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物料主数据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物料代码、物料名称、规格、材质、图号、物料分类计量单位，浇注重量等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组织机构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部门代码、部门名称、部门级别、上级部门等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人员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人员代码、姓名、性别、学历、岗位、角色、人员状态等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ERP</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MES</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工作中心代码、名称、能力数量、能力周期、能力单位等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工序信息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PDM/PLM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工序代码、工序名称、工作中心、工时等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班次信息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序号、班次名称、班次简称、上班时间、下班时间、时长等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765"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8</w:t>
            </w:r>
          </w:p>
        </w:tc>
        <w:tc>
          <w:tcPr>
            <w:tcW w:w="126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工厂日历</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4230"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工作中心、工序、班次、班组、日期范围、排班日期等</w:t>
            </w:r>
          </w:p>
        </w:tc>
        <w:tc>
          <w:tcPr>
            <w:tcW w:w="941"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765" w:type="dxa"/>
            <w:tcBorders>
              <w:top w:val="single" w:color="auto" w:sz="4" w:space="0"/>
              <w:left w:val="single" w:color="auto"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9</w:t>
            </w:r>
          </w:p>
        </w:tc>
        <w:tc>
          <w:tcPr>
            <w:tcW w:w="126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外协配置</w:t>
            </w:r>
          </w:p>
        </w:tc>
        <w:tc>
          <w:tcPr>
            <w:tcW w:w="90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4230" w:type="dxa"/>
            <w:tcBorders>
              <w:top w:val="single" w:color="auto" w:sz="4" w:space="0"/>
              <w:left w:val="nil"/>
              <w:bottom w:val="single" w:color="auto" w:sz="4" w:space="0"/>
              <w:right w:val="nil"/>
            </w:tcBorders>
            <w:shd w:val="clear" w:color="auto" w:fill="auto"/>
            <w:noWrap/>
            <w:vAlign w:val="center"/>
          </w:tcPr>
          <w:p>
            <w:pPr>
              <w:pStyle w:val="180"/>
              <w:rPr>
                <w:rFonts w:ascii="宋体" w:hAnsi="宋体" w:cs="宋体"/>
                <w:szCs w:val="18"/>
              </w:rPr>
            </w:pPr>
            <w:r>
              <w:rPr>
                <w:rFonts w:hint="eastAsia" w:ascii="宋体" w:hAnsi="宋体" w:cs="宋体"/>
                <w:szCs w:val="18"/>
              </w:rPr>
              <w:t>序号、产品代码、产品名称、外协天数、外协厂商、编辑天数等</w:t>
            </w:r>
          </w:p>
        </w:tc>
        <w:tc>
          <w:tcPr>
            <w:tcW w:w="941"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120" w:hRule="atLeast"/>
        </w:trPr>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10</w:t>
            </w:r>
          </w:p>
        </w:tc>
        <w:tc>
          <w:tcPr>
            <w:tcW w:w="126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炉容量信息</w:t>
            </w:r>
          </w:p>
        </w:tc>
        <w:tc>
          <w:tcPr>
            <w:tcW w:w="9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4230"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工作中心编码、工作中心名称、设备编码、设备名称、最大炉容量、最小炉容量、炉时、炉寿命、单天炉次、备注等</w:t>
            </w:r>
          </w:p>
        </w:tc>
        <w:tc>
          <w:tcPr>
            <w:tcW w:w="941"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铸件号规则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4230" w:type="dxa"/>
            <w:shd w:val="clear" w:color="auto" w:fill="auto"/>
            <w:noWrap/>
            <w:vAlign w:val="center"/>
          </w:tcPr>
          <w:p>
            <w:pPr>
              <w:pStyle w:val="180"/>
              <w:rPr>
                <w:rFonts w:ascii="宋体" w:hAnsi="宋体" w:cs="宋体"/>
                <w:szCs w:val="18"/>
              </w:rPr>
            </w:pPr>
            <w:r>
              <w:rPr>
                <w:rFonts w:hint="eastAsia" w:ascii="宋体" w:hAnsi="宋体" w:cs="宋体"/>
                <w:szCs w:val="18"/>
              </w:rPr>
              <w:t>产品分类编码、产品分类名称、产品代码、产品名称、铸件号规则、描述等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1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批次信息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产品代码、产品名称、产品规格、材质、工序顺序号、标准工序码、工序名称、批次数，描述等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112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不合格信息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序号、工序编码、工序名称、不合格类型、不合格原因编码、不合格原因、创建时间、创建人等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81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交货提前期</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4230" w:type="dxa"/>
            <w:shd w:val="clear" w:color="auto" w:fill="auto"/>
            <w:noWrap/>
            <w:vAlign w:val="center"/>
          </w:tcPr>
          <w:p>
            <w:pPr>
              <w:pStyle w:val="180"/>
              <w:rPr>
                <w:rFonts w:ascii="宋体" w:hAnsi="宋体" w:cs="宋体"/>
                <w:szCs w:val="18"/>
              </w:rPr>
            </w:pPr>
            <w:r>
              <w:rPr>
                <w:rFonts w:hint="eastAsia" w:ascii="宋体" w:hAnsi="宋体" w:cs="宋体"/>
                <w:szCs w:val="18"/>
              </w:rPr>
              <w:t>工作中心编码、工作中心名称、产品分类编码、产品分类名称、提前期、描述等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设备分类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生产单元控制系统</w:t>
            </w:r>
          </w:p>
        </w:tc>
        <w:tc>
          <w:tcPr>
            <w:tcW w:w="42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设备类型编码、设备类型名称、描述等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r>
        <w:tblPrEx>
          <w:tblCellMar>
            <w:top w:w="0" w:type="dxa"/>
            <w:left w:w="108" w:type="dxa"/>
            <w:bottom w:w="0" w:type="dxa"/>
            <w:right w:w="108" w:type="dxa"/>
          </w:tblCellMar>
        </w:tblPrEx>
        <w:trPr>
          <w:trHeight w:val="5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结账期</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MES</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ERP</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80"/>
              <w:rPr>
                <w:rFonts w:ascii="宋体" w:hAnsi="宋体" w:cs="宋体"/>
                <w:szCs w:val="18"/>
              </w:rPr>
            </w:pPr>
            <w:r>
              <w:rPr>
                <w:rFonts w:hint="eastAsia" w:ascii="宋体" w:hAnsi="宋体" w:cs="宋体"/>
                <w:szCs w:val="18"/>
              </w:rPr>
              <w:t>序号、结账开始时间、结账结束时间、结账时长、描述等</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0"/>
              <w:rPr>
                <w:rFonts w:ascii="宋体" w:hAnsi="宋体" w:cs="宋体"/>
                <w:szCs w:val="18"/>
              </w:rPr>
            </w:pPr>
            <w:r>
              <w:rPr>
                <w:rFonts w:hint="eastAsia" w:ascii="宋体" w:hAnsi="宋体" w:cs="宋体"/>
                <w:szCs w:val="18"/>
              </w:rPr>
              <w:t>形成时、变更时</w:t>
            </w:r>
          </w:p>
        </w:tc>
      </w:tr>
    </w:tbl>
    <w:p>
      <w:pPr>
        <w:pStyle w:val="58"/>
        <w:ind w:firstLine="420"/>
      </w:pPr>
    </w:p>
    <w:bookmarkEnd w:id="150"/>
    <w:p>
      <w:pPr>
        <w:widowControl/>
        <w:jc w:val="left"/>
        <w:textAlignment w:val="center"/>
        <w:rPr>
          <w:rFonts w:ascii="宋体" w:hAnsi="Times New Roman" w:cs="宋体"/>
          <w:kern w:val="0"/>
          <w:szCs w:val="20"/>
        </w:rPr>
        <w:sectPr>
          <w:headerReference r:id="rId29" w:type="default"/>
          <w:footerReference r:id="rId31" w:type="default"/>
          <w:headerReference r:id="rId30" w:type="even"/>
          <w:footerReference r:id="rId32" w:type="even"/>
          <w:pgSz w:w="11906" w:h="16838"/>
          <w:pgMar w:top="2410" w:right="1134" w:bottom="1134" w:left="1134" w:header="1418" w:footer="1134" w:gutter="284"/>
          <w:cols w:space="425" w:num="1"/>
          <w:formProt w:val="0"/>
          <w:docGrid w:linePitch="312" w:charSpace="0"/>
        </w:sectPr>
      </w:pPr>
      <w:bookmarkStart w:id="160" w:name="BookMark6"/>
    </w:p>
    <w:p>
      <w:pPr>
        <w:pStyle w:val="65"/>
        <w:spacing w:before="96" w:after="120"/>
      </w:pPr>
      <w:bookmarkStart w:id="161" w:name="_Toc135229443"/>
      <w:r>
        <w:rPr>
          <w:rFonts w:hint="eastAsia"/>
          <w:spacing w:val="105"/>
        </w:rPr>
        <w:t>参考文</w:t>
      </w:r>
      <w:r>
        <w:rPr>
          <w:rFonts w:hint="eastAsia"/>
        </w:rPr>
        <w:t>献</w:t>
      </w:r>
      <w:bookmarkEnd w:id="161"/>
    </w:p>
    <w:p>
      <w:pPr>
        <w:pStyle w:val="58"/>
        <w:ind w:firstLine="420"/>
      </w:pPr>
    </w:p>
    <w:p>
      <w:pPr>
        <w:pStyle w:val="58"/>
        <w:ind w:firstLine="420"/>
      </w:pPr>
      <w:r>
        <w:t xml:space="preserve">[1] </w:t>
      </w:r>
      <w:r>
        <w:rPr>
          <w:rFonts w:hint="eastAsia"/>
        </w:rPr>
        <w:t>GB/T 20720.2</w:t>
      </w:r>
      <w:r>
        <w:t xml:space="preserve">  </w:t>
      </w:r>
      <w:r>
        <w:rPr>
          <w:rFonts w:hint="eastAsia"/>
        </w:rPr>
        <w:t>企业控制系统集成 第2部分：企业控制系统集成的对象和属性</w:t>
      </w:r>
    </w:p>
    <w:p>
      <w:pPr>
        <w:pStyle w:val="58"/>
        <w:ind w:firstLine="420"/>
        <w:rPr>
          <w:color w:val="FF0000"/>
        </w:rPr>
      </w:pPr>
      <w:r>
        <w:t xml:space="preserve">[2] </w:t>
      </w:r>
      <w:r>
        <w:rPr>
          <w:rFonts w:hint="eastAsia"/>
        </w:rPr>
        <w:t>GB/T 39466.2</w:t>
      </w:r>
      <w:r>
        <w:t xml:space="preserve">  </w:t>
      </w:r>
      <w:r>
        <w:rPr>
          <w:rFonts w:hint="eastAsia"/>
        </w:rPr>
        <w:t>ERP、MES与控制系统之间软件互联互通接口　第2部分：信息交换</w:t>
      </w:r>
    </w:p>
    <w:p>
      <w:pPr>
        <w:pStyle w:val="58"/>
        <w:ind w:firstLine="420"/>
      </w:pPr>
      <w:r>
        <w:t xml:space="preserve">[3] </w:t>
      </w:r>
      <w:r>
        <w:rPr>
          <w:rFonts w:hint="eastAsia"/>
        </w:rPr>
        <w:t>SJ/T 11666.4</w:t>
      </w:r>
      <w:r>
        <w:t xml:space="preserve">  </w:t>
      </w:r>
      <w:r>
        <w:rPr>
          <w:rFonts w:hint="eastAsia"/>
        </w:rPr>
        <w:t>制造执行系统（MES）规范 第4部分:接口与信息交换</w:t>
      </w:r>
    </w:p>
    <w:p>
      <w:pPr>
        <w:pStyle w:val="58"/>
        <w:ind w:firstLine="420"/>
      </w:pPr>
      <w:r>
        <w:t>[4] T/CFA 03110324</w:t>
      </w:r>
      <w:r>
        <w:rPr>
          <w:rFonts w:hint="eastAsia"/>
        </w:rPr>
        <w:t>-</w:t>
      </w:r>
      <w:r>
        <w:t xml:space="preserve">2022 </w:t>
      </w:r>
      <w:r>
        <w:rPr>
          <w:rFonts w:hint="eastAsia"/>
        </w:rPr>
        <w:t>铸造企业制造执行系统软件功能规范</w:t>
      </w:r>
    </w:p>
    <w:p>
      <w:pPr>
        <w:pStyle w:val="58"/>
        <w:ind w:firstLine="420"/>
      </w:pPr>
    </w:p>
    <w:bookmarkEnd w:id="160"/>
    <w:p>
      <w:pPr>
        <w:pStyle w:val="58"/>
        <w:ind w:firstLine="0" w:firstLineChars="0"/>
        <w:jc w:val="center"/>
      </w:pPr>
      <w:bookmarkStart w:id="162" w:name="BookMark8"/>
      <w:r>
        <w:drawing>
          <wp:inline distT="0" distB="0" distL="0" distR="0">
            <wp:extent cx="1485900" cy="317500"/>
            <wp:effectExtent l="0" t="0" r="0" b="635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4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2"/>
    </w:p>
    <w:sectPr>
      <w:headerReference r:id="rId33" w:type="default"/>
      <w:footerReference r:id="rId35" w:type="default"/>
      <w:headerReference r:id="rId34" w:type="even"/>
      <w:footerReference r:id="rId36"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21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22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31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30</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20</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20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T/CFA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T/CFA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T/CFA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T/CFA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T/CFA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T/CFA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T/CFA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T/CFA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0152DBF"/>
    <w:multiLevelType w:val="multilevel"/>
    <w:tmpl w:val="10152DBF"/>
    <w:lvl w:ilvl="0" w:tentative="0">
      <w:start w:val="2"/>
      <w:numFmt w:val="upperLetter"/>
      <w:suff w:val="space"/>
      <w:lvlText w:val="表%1"/>
      <w:lvlJc w:val="left"/>
      <w:pPr>
        <w:ind w:left="425" w:hanging="425"/>
      </w:pPr>
      <w:rPr>
        <w:rFonts w:hint="default" w:ascii="宋体" w:hAnsi="宋体" w:eastAsia="宋体" w:cs="宋体"/>
      </w:rPr>
    </w:lvl>
    <w:lvl w:ilvl="1" w:tentative="0">
      <w:start w:val="1"/>
      <w:numFmt w:val="decimal"/>
      <w:pStyle w:val="234"/>
      <w:suff w:val="space"/>
      <w:lvlText w:val="表%1.%2"/>
      <w:lvlJc w:val="center"/>
      <w:pPr>
        <w:tabs>
          <w:tab w:val="left" w:pos="0"/>
        </w:tabs>
        <w:ind w:left="0" w:firstLine="0"/>
      </w:pPr>
      <w:rPr>
        <w:rFonts w:hint="default" w:ascii="宋体" w:hAnsi="宋体" w:eastAsia="宋体" w:cs="宋体"/>
        <w:sz w:val="21"/>
        <w:lang w:val="en-U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E2D821"/>
    <w:multiLevelType w:val="multilevel"/>
    <w:tmpl w:val="1AE2D821"/>
    <w:lvl w:ilvl="0" w:tentative="0">
      <w:start w:val="1"/>
      <w:numFmt w:val="upperLetter"/>
      <w:suff w:val="nothing"/>
      <w:lvlText w:val="附录%1"/>
      <w:lvlJc w:val="left"/>
      <w:pPr>
        <w:ind w:left="0" w:firstLine="0"/>
      </w:pPr>
      <w:rPr>
        <w:spacing w:val="100"/>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C51A607"/>
    <w:multiLevelType w:val="multilevel"/>
    <w:tmpl w:val="1C51A607"/>
    <w:lvl w:ilvl="0" w:tentative="0">
      <w:start w:val="2"/>
      <w:numFmt w:val="upperLetter"/>
      <w:suff w:val="space"/>
      <w:lvlText w:val="%1"/>
      <w:lvlJc w:val="left"/>
      <w:pPr>
        <w:ind w:left="425" w:hanging="425"/>
      </w:pPr>
      <w:rPr>
        <w:rFonts w:hint="default" w:ascii="宋体" w:hAnsi="宋体" w:eastAsia="宋体" w:cs="宋体"/>
      </w:rPr>
    </w:lvl>
    <w:lvl w:ilvl="1" w:tentative="0">
      <w:start w:val="1"/>
      <w:numFmt w:val="decimal"/>
      <w:pStyle w:val="233"/>
      <w:suff w:val="space"/>
      <w:lvlText w:val="表%1.%2"/>
      <w:lvlJc w:val="center"/>
      <w:pPr>
        <w:tabs>
          <w:tab w:val="left" w:pos="0"/>
        </w:tabs>
        <w:ind w:left="0" w:firstLine="0"/>
      </w:pPr>
      <w:rPr>
        <w:rFonts w:hint="default" w:ascii="宋体" w:hAnsi="宋体" w:eastAsia="宋体" w:cs="宋体"/>
        <w:sz w:val="21"/>
        <w:lang w:val="en-U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5"/>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241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1"/>
  </w:num>
  <w:num w:numId="6">
    <w:abstractNumId w:val="16"/>
  </w:num>
  <w:num w:numId="7">
    <w:abstractNumId w:val="10"/>
  </w:num>
  <w:num w:numId="8">
    <w:abstractNumId w:val="3"/>
  </w:num>
  <w:num w:numId="9">
    <w:abstractNumId w:val="12"/>
  </w:num>
  <w:num w:numId="10">
    <w:abstractNumId w:val="19"/>
  </w:num>
  <w:num w:numId="11">
    <w:abstractNumId w:val="28"/>
  </w:num>
  <w:num w:numId="12">
    <w:abstractNumId w:val="14"/>
  </w:num>
  <w:num w:numId="13">
    <w:abstractNumId w:val="15"/>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3"/>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7"/>
  </w:num>
  <w:num w:numId="30">
    <w:abstractNumId w:val="27"/>
  </w:num>
  <w:num w:numId="31">
    <w:abstractNumId w:val="25"/>
  </w:num>
  <w:num w:numId="32">
    <w:abstractNumId w:val="11"/>
  </w:num>
  <w:num w:numId="33">
    <w:abstractNumId w:val="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CoGyMQM7c8EhwJCA/dWObAfFB+7/Mgssvlyko+lQiAuIlNIrHYlZDYAvGeYm/nBM0dsPZs+fO+MVLHqa+GfCWA==" w:salt="GN4QREnFMboFyRUxgscHSQ=="/>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1Njc0YzAxNWJlNGE1MmExZTRiZGU1YzNkNmMzOTkifQ=="/>
  </w:docVars>
  <w:rsids>
    <w:rsidRoot w:val="003E64EB"/>
    <w:rsid w:val="0000040A"/>
    <w:rsid w:val="00000A94"/>
    <w:rsid w:val="00001285"/>
    <w:rsid w:val="00001972"/>
    <w:rsid w:val="00001D9A"/>
    <w:rsid w:val="0000436D"/>
    <w:rsid w:val="00007B3A"/>
    <w:rsid w:val="000107E0"/>
    <w:rsid w:val="00011FDE"/>
    <w:rsid w:val="00012FFD"/>
    <w:rsid w:val="00014162"/>
    <w:rsid w:val="00014340"/>
    <w:rsid w:val="00016A9C"/>
    <w:rsid w:val="00022184"/>
    <w:rsid w:val="00022762"/>
    <w:rsid w:val="00022F46"/>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7CE"/>
    <w:rsid w:val="00067F1E"/>
    <w:rsid w:val="00071CC0"/>
    <w:rsid w:val="00071CFC"/>
    <w:rsid w:val="00073C8C"/>
    <w:rsid w:val="00077B64"/>
    <w:rsid w:val="00080A1C"/>
    <w:rsid w:val="00082317"/>
    <w:rsid w:val="00083D2C"/>
    <w:rsid w:val="00086AA1"/>
    <w:rsid w:val="00087A77"/>
    <w:rsid w:val="00090CA6"/>
    <w:rsid w:val="00091360"/>
    <w:rsid w:val="00092B8A"/>
    <w:rsid w:val="00092FB0"/>
    <w:rsid w:val="000933DF"/>
    <w:rsid w:val="000934C5"/>
    <w:rsid w:val="00093D25"/>
    <w:rsid w:val="00093DAB"/>
    <w:rsid w:val="00094D73"/>
    <w:rsid w:val="00095C8B"/>
    <w:rsid w:val="00096D63"/>
    <w:rsid w:val="000A0B60"/>
    <w:rsid w:val="000A0EB8"/>
    <w:rsid w:val="000A19FC"/>
    <w:rsid w:val="000A296B"/>
    <w:rsid w:val="000A5A28"/>
    <w:rsid w:val="000A7311"/>
    <w:rsid w:val="000B0178"/>
    <w:rsid w:val="000B060F"/>
    <w:rsid w:val="000B1592"/>
    <w:rsid w:val="000B1FF2"/>
    <w:rsid w:val="000B3CDA"/>
    <w:rsid w:val="000B6A0B"/>
    <w:rsid w:val="000C0AB5"/>
    <w:rsid w:val="000C0F6C"/>
    <w:rsid w:val="000C11DB"/>
    <w:rsid w:val="000C1492"/>
    <w:rsid w:val="000C2FBD"/>
    <w:rsid w:val="000C4B41"/>
    <w:rsid w:val="000C57D6"/>
    <w:rsid w:val="000C6362"/>
    <w:rsid w:val="000C6AD5"/>
    <w:rsid w:val="000C7666"/>
    <w:rsid w:val="000D0A9C"/>
    <w:rsid w:val="000D1795"/>
    <w:rsid w:val="000D329A"/>
    <w:rsid w:val="000D4B9C"/>
    <w:rsid w:val="000D4EB6"/>
    <w:rsid w:val="000D4F04"/>
    <w:rsid w:val="000D6266"/>
    <w:rsid w:val="000D753B"/>
    <w:rsid w:val="000E4C9E"/>
    <w:rsid w:val="000E6FD7"/>
    <w:rsid w:val="000F06E1"/>
    <w:rsid w:val="000F0E3C"/>
    <w:rsid w:val="000F19D5"/>
    <w:rsid w:val="000F1B5F"/>
    <w:rsid w:val="000F20CD"/>
    <w:rsid w:val="000F3157"/>
    <w:rsid w:val="000F4050"/>
    <w:rsid w:val="000F4AEA"/>
    <w:rsid w:val="000F67E9"/>
    <w:rsid w:val="00101CE3"/>
    <w:rsid w:val="00104926"/>
    <w:rsid w:val="00107AF9"/>
    <w:rsid w:val="00113B1E"/>
    <w:rsid w:val="0011711C"/>
    <w:rsid w:val="001238A6"/>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AF7"/>
    <w:rsid w:val="001529E5"/>
    <w:rsid w:val="00152FB3"/>
    <w:rsid w:val="00153C7E"/>
    <w:rsid w:val="00156B25"/>
    <w:rsid w:val="00156E1A"/>
    <w:rsid w:val="00157894"/>
    <w:rsid w:val="00157B55"/>
    <w:rsid w:val="00163B49"/>
    <w:rsid w:val="001642FA"/>
    <w:rsid w:val="001649EB"/>
    <w:rsid w:val="00164BAF"/>
    <w:rsid w:val="00164FA8"/>
    <w:rsid w:val="00165065"/>
    <w:rsid w:val="00165434"/>
    <w:rsid w:val="0016580B"/>
    <w:rsid w:val="00165F49"/>
    <w:rsid w:val="00166184"/>
    <w:rsid w:val="00166B88"/>
    <w:rsid w:val="0016770A"/>
    <w:rsid w:val="00170804"/>
    <w:rsid w:val="001708E9"/>
    <w:rsid w:val="0017340B"/>
    <w:rsid w:val="00173FB1"/>
    <w:rsid w:val="00176DFD"/>
    <w:rsid w:val="00176EF3"/>
    <w:rsid w:val="001852C9"/>
    <w:rsid w:val="00186EAC"/>
    <w:rsid w:val="00187A0B"/>
    <w:rsid w:val="00190087"/>
    <w:rsid w:val="001913C4"/>
    <w:rsid w:val="0019348F"/>
    <w:rsid w:val="00193A07"/>
    <w:rsid w:val="00194C95"/>
    <w:rsid w:val="00195A7E"/>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C75"/>
    <w:rsid w:val="001E1B6A"/>
    <w:rsid w:val="001E2484"/>
    <w:rsid w:val="001E3CC4"/>
    <w:rsid w:val="001E4882"/>
    <w:rsid w:val="001E73AB"/>
    <w:rsid w:val="001F092D"/>
    <w:rsid w:val="001F143A"/>
    <w:rsid w:val="001F1605"/>
    <w:rsid w:val="001F2508"/>
    <w:rsid w:val="001F4816"/>
    <w:rsid w:val="001F4898"/>
    <w:rsid w:val="001F5E08"/>
    <w:rsid w:val="001F69B4"/>
    <w:rsid w:val="001F77C7"/>
    <w:rsid w:val="00200183"/>
    <w:rsid w:val="00200333"/>
    <w:rsid w:val="0020107D"/>
    <w:rsid w:val="002017D4"/>
    <w:rsid w:val="00202AA4"/>
    <w:rsid w:val="002031F7"/>
    <w:rsid w:val="002040E6"/>
    <w:rsid w:val="0020527B"/>
    <w:rsid w:val="00205F2C"/>
    <w:rsid w:val="00210B15"/>
    <w:rsid w:val="00212392"/>
    <w:rsid w:val="002142EA"/>
    <w:rsid w:val="00215ADD"/>
    <w:rsid w:val="002204BB"/>
    <w:rsid w:val="00221B79"/>
    <w:rsid w:val="00221C6B"/>
    <w:rsid w:val="002253A1"/>
    <w:rsid w:val="00225CF8"/>
    <w:rsid w:val="0022794E"/>
    <w:rsid w:val="00233D64"/>
    <w:rsid w:val="00234201"/>
    <w:rsid w:val="0023482A"/>
    <w:rsid w:val="002359CB"/>
    <w:rsid w:val="00243540"/>
    <w:rsid w:val="0024497B"/>
    <w:rsid w:val="0024515B"/>
    <w:rsid w:val="00246021"/>
    <w:rsid w:val="0024666E"/>
    <w:rsid w:val="002477B0"/>
    <w:rsid w:val="00247F52"/>
    <w:rsid w:val="00250B25"/>
    <w:rsid w:val="00250BBE"/>
    <w:rsid w:val="002515C2"/>
    <w:rsid w:val="0025194F"/>
    <w:rsid w:val="0025596F"/>
    <w:rsid w:val="0026148A"/>
    <w:rsid w:val="00261983"/>
    <w:rsid w:val="00262696"/>
    <w:rsid w:val="002635E3"/>
    <w:rsid w:val="002637E3"/>
    <w:rsid w:val="00263D25"/>
    <w:rsid w:val="002643C3"/>
    <w:rsid w:val="00264A0C"/>
    <w:rsid w:val="00266EEB"/>
    <w:rsid w:val="00267EF4"/>
    <w:rsid w:val="00270673"/>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18B"/>
    <w:rsid w:val="002B1966"/>
    <w:rsid w:val="002B24A2"/>
    <w:rsid w:val="002B4508"/>
    <w:rsid w:val="002B5779"/>
    <w:rsid w:val="002B7332"/>
    <w:rsid w:val="002B7F51"/>
    <w:rsid w:val="002C09E7"/>
    <w:rsid w:val="002C1E06"/>
    <w:rsid w:val="002C3F07"/>
    <w:rsid w:val="002C5278"/>
    <w:rsid w:val="002C7EBB"/>
    <w:rsid w:val="002D06C1"/>
    <w:rsid w:val="002D3EB3"/>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5FF"/>
    <w:rsid w:val="0030441D"/>
    <w:rsid w:val="00306063"/>
    <w:rsid w:val="00313B85"/>
    <w:rsid w:val="00317988"/>
    <w:rsid w:val="00320ED9"/>
    <w:rsid w:val="003221B4"/>
    <w:rsid w:val="0032258D"/>
    <w:rsid w:val="00322E62"/>
    <w:rsid w:val="00324D13"/>
    <w:rsid w:val="00324EDD"/>
    <w:rsid w:val="003260C5"/>
    <w:rsid w:val="00326B1E"/>
    <w:rsid w:val="003331E4"/>
    <w:rsid w:val="00336C64"/>
    <w:rsid w:val="00337162"/>
    <w:rsid w:val="0034194F"/>
    <w:rsid w:val="00344605"/>
    <w:rsid w:val="003474AA"/>
    <w:rsid w:val="00350D1D"/>
    <w:rsid w:val="00351960"/>
    <w:rsid w:val="00351DE6"/>
    <w:rsid w:val="00352C83"/>
    <w:rsid w:val="00352F1A"/>
    <w:rsid w:val="003559CA"/>
    <w:rsid w:val="00355DD6"/>
    <w:rsid w:val="00357772"/>
    <w:rsid w:val="0036107C"/>
    <w:rsid w:val="003615D2"/>
    <w:rsid w:val="00361B41"/>
    <w:rsid w:val="0036429C"/>
    <w:rsid w:val="00364A53"/>
    <w:rsid w:val="003654CB"/>
    <w:rsid w:val="00365AA9"/>
    <w:rsid w:val="00365F86"/>
    <w:rsid w:val="00365F87"/>
    <w:rsid w:val="00366E89"/>
    <w:rsid w:val="003705F4"/>
    <w:rsid w:val="00370D58"/>
    <w:rsid w:val="00371316"/>
    <w:rsid w:val="00372505"/>
    <w:rsid w:val="00372A1E"/>
    <w:rsid w:val="00375D78"/>
    <w:rsid w:val="00376713"/>
    <w:rsid w:val="00381815"/>
    <w:rsid w:val="003819AF"/>
    <w:rsid w:val="003820E9"/>
    <w:rsid w:val="00382DE7"/>
    <w:rsid w:val="00384452"/>
    <w:rsid w:val="00384FFC"/>
    <w:rsid w:val="003872FC"/>
    <w:rsid w:val="00387ADC"/>
    <w:rsid w:val="00390020"/>
    <w:rsid w:val="003903D6"/>
    <w:rsid w:val="00390EE6"/>
    <w:rsid w:val="0039118F"/>
    <w:rsid w:val="003915FD"/>
    <w:rsid w:val="003920DF"/>
    <w:rsid w:val="003927DE"/>
    <w:rsid w:val="00392AD7"/>
    <w:rsid w:val="003938D9"/>
    <w:rsid w:val="00394376"/>
    <w:rsid w:val="003943FF"/>
    <w:rsid w:val="003974EB"/>
    <w:rsid w:val="00397CC5"/>
    <w:rsid w:val="003A0C31"/>
    <w:rsid w:val="003A1244"/>
    <w:rsid w:val="003A1582"/>
    <w:rsid w:val="003A3D9C"/>
    <w:rsid w:val="003A4077"/>
    <w:rsid w:val="003A4AA7"/>
    <w:rsid w:val="003A52EE"/>
    <w:rsid w:val="003A65BF"/>
    <w:rsid w:val="003B09AD"/>
    <w:rsid w:val="003B1F18"/>
    <w:rsid w:val="003B3E89"/>
    <w:rsid w:val="003B5BF0"/>
    <w:rsid w:val="003B60BF"/>
    <w:rsid w:val="003B6BE3"/>
    <w:rsid w:val="003C010C"/>
    <w:rsid w:val="003C0A6C"/>
    <w:rsid w:val="003C14F8"/>
    <w:rsid w:val="003C5A43"/>
    <w:rsid w:val="003D0519"/>
    <w:rsid w:val="003D0FF6"/>
    <w:rsid w:val="003D262C"/>
    <w:rsid w:val="003D524D"/>
    <w:rsid w:val="003D6D61"/>
    <w:rsid w:val="003D7BA2"/>
    <w:rsid w:val="003E091D"/>
    <w:rsid w:val="003E1C53"/>
    <w:rsid w:val="003E2A69"/>
    <w:rsid w:val="003E2D49"/>
    <w:rsid w:val="003E2FD4"/>
    <w:rsid w:val="003E49F6"/>
    <w:rsid w:val="003E64EB"/>
    <w:rsid w:val="003E660F"/>
    <w:rsid w:val="003F06C6"/>
    <w:rsid w:val="003F0841"/>
    <w:rsid w:val="003F23D3"/>
    <w:rsid w:val="003F3F08"/>
    <w:rsid w:val="003F49F1"/>
    <w:rsid w:val="003F6272"/>
    <w:rsid w:val="00400E72"/>
    <w:rsid w:val="00401400"/>
    <w:rsid w:val="00404869"/>
    <w:rsid w:val="00405884"/>
    <w:rsid w:val="00407D39"/>
    <w:rsid w:val="0041280F"/>
    <w:rsid w:val="0041477A"/>
    <w:rsid w:val="004167A3"/>
    <w:rsid w:val="0043135F"/>
    <w:rsid w:val="00432DAA"/>
    <w:rsid w:val="00434305"/>
    <w:rsid w:val="00435DF7"/>
    <w:rsid w:val="00440257"/>
    <w:rsid w:val="0044083F"/>
    <w:rsid w:val="00441AE7"/>
    <w:rsid w:val="00445574"/>
    <w:rsid w:val="00445FCF"/>
    <w:rsid w:val="004467FB"/>
    <w:rsid w:val="004511F7"/>
    <w:rsid w:val="00452D6B"/>
    <w:rsid w:val="00454484"/>
    <w:rsid w:val="0045517B"/>
    <w:rsid w:val="004566D2"/>
    <w:rsid w:val="00457E80"/>
    <w:rsid w:val="00463B77"/>
    <w:rsid w:val="00463C7B"/>
    <w:rsid w:val="004644A6"/>
    <w:rsid w:val="004659BD"/>
    <w:rsid w:val="004674A4"/>
    <w:rsid w:val="00470775"/>
    <w:rsid w:val="004746B1"/>
    <w:rsid w:val="0047583F"/>
    <w:rsid w:val="00475DE8"/>
    <w:rsid w:val="00481C44"/>
    <w:rsid w:val="00484936"/>
    <w:rsid w:val="00485C89"/>
    <w:rsid w:val="00486668"/>
    <w:rsid w:val="00486BE3"/>
    <w:rsid w:val="004905E4"/>
    <w:rsid w:val="00490A89"/>
    <w:rsid w:val="00490AB4"/>
    <w:rsid w:val="00492F02"/>
    <w:rsid w:val="004939AE"/>
    <w:rsid w:val="00496C0E"/>
    <w:rsid w:val="00497AE0"/>
    <w:rsid w:val="004A12DF"/>
    <w:rsid w:val="004A1BA8"/>
    <w:rsid w:val="004A4B57"/>
    <w:rsid w:val="004A63FA"/>
    <w:rsid w:val="004A68BE"/>
    <w:rsid w:val="004A6A3D"/>
    <w:rsid w:val="004B0272"/>
    <w:rsid w:val="004B2701"/>
    <w:rsid w:val="004B2E1B"/>
    <w:rsid w:val="004B329B"/>
    <w:rsid w:val="004B3AA8"/>
    <w:rsid w:val="004B3E93"/>
    <w:rsid w:val="004C1FBC"/>
    <w:rsid w:val="004C25A2"/>
    <w:rsid w:val="004C3F1D"/>
    <w:rsid w:val="004C458D"/>
    <w:rsid w:val="004C6860"/>
    <w:rsid w:val="004C7556"/>
    <w:rsid w:val="004C7E8B"/>
    <w:rsid w:val="004C7E9D"/>
    <w:rsid w:val="004C7ED0"/>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4E8"/>
    <w:rsid w:val="004F391A"/>
    <w:rsid w:val="004F3CFB"/>
    <w:rsid w:val="004F6456"/>
    <w:rsid w:val="004F696E"/>
    <w:rsid w:val="004F6C71"/>
    <w:rsid w:val="00501139"/>
    <w:rsid w:val="0050363E"/>
    <w:rsid w:val="005039BC"/>
    <w:rsid w:val="005043BB"/>
    <w:rsid w:val="00504A3D"/>
    <w:rsid w:val="00505767"/>
    <w:rsid w:val="00506616"/>
    <w:rsid w:val="005073F0"/>
    <w:rsid w:val="00510A7B"/>
    <w:rsid w:val="00512F6E"/>
    <w:rsid w:val="00513038"/>
    <w:rsid w:val="00514174"/>
    <w:rsid w:val="00516088"/>
    <w:rsid w:val="00516B0B"/>
    <w:rsid w:val="005220EC"/>
    <w:rsid w:val="00523F95"/>
    <w:rsid w:val="00524D65"/>
    <w:rsid w:val="00525B16"/>
    <w:rsid w:val="005275E3"/>
    <w:rsid w:val="00533D04"/>
    <w:rsid w:val="00534804"/>
    <w:rsid w:val="00534BDF"/>
    <w:rsid w:val="00534E70"/>
    <w:rsid w:val="005354EA"/>
    <w:rsid w:val="0053585F"/>
    <w:rsid w:val="00535EC4"/>
    <w:rsid w:val="00535ED9"/>
    <w:rsid w:val="0053692B"/>
    <w:rsid w:val="00541438"/>
    <w:rsid w:val="00541853"/>
    <w:rsid w:val="00543BDA"/>
    <w:rsid w:val="005441CC"/>
    <w:rsid w:val="005479DA"/>
    <w:rsid w:val="00547BCC"/>
    <w:rsid w:val="0055013B"/>
    <w:rsid w:val="005503E4"/>
    <w:rsid w:val="00551F6F"/>
    <w:rsid w:val="00555044"/>
    <w:rsid w:val="005560E3"/>
    <w:rsid w:val="00561475"/>
    <w:rsid w:val="00562308"/>
    <w:rsid w:val="00563D3E"/>
    <w:rsid w:val="0056487B"/>
    <w:rsid w:val="00564FB9"/>
    <w:rsid w:val="00566474"/>
    <w:rsid w:val="005671EF"/>
    <w:rsid w:val="00571C79"/>
    <w:rsid w:val="00573D9E"/>
    <w:rsid w:val="005743EC"/>
    <w:rsid w:val="00574606"/>
    <w:rsid w:val="005801E3"/>
    <w:rsid w:val="00581802"/>
    <w:rsid w:val="005829BC"/>
    <w:rsid w:val="005836A8"/>
    <w:rsid w:val="0058409C"/>
    <w:rsid w:val="00584262"/>
    <w:rsid w:val="00586630"/>
    <w:rsid w:val="00587ADD"/>
    <w:rsid w:val="00593A49"/>
    <w:rsid w:val="00596160"/>
    <w:rsid w:val="005966E2"/>
    <w:rsid w:val="00597007"/>
    <w:rsid w:val="005A0966"/>
    <w:rsid w:val="005A11B7"/>
    <w:rsid w:val="005A260B"/>
    <w:rsid w:val="005A4A1B"/>
    <w:rsid w:val="005A7554"/>
    <w:rsid w:val="005A7830"/>
    <w:rsid w:val="005A7FCE"/>
    <w:rsid w:val="005B0F3F"/>
    <w:rsid w:val="005B191C"/>
    <w:rsid w:val="005B234E"/>
    <w:rsid w:val="005B4903"/>
    <w:rsid w:val="005B51CE"/>
    <w:rsid w:val="005B5885"/>
    <w:rsid w:val="005B5CD7"/>
    <w:rsid w:val="005B6CF6"/>
    <w:rsid w:val="005B7422"/>
    <w:rsid w:val="005C29B8"/>
    <w:rsid w:val="005C536B"/>
    <w:rsid w:val="005C5F21"/>
    <w:rsid w:val="005C7156"/>
    <w:rsid w:val="005D0C75"/>
    <w:rsid w:val="005D4171"/>
    <w:rsid w:val="005D6A95"/>
    <w:rsid w:val="005D6B2C"/>
    <w:rsid w:val="005D6D9C"/>
    <w:rsid w:val="005E2335"/>
    <w:rsid w:val="005E2656"/>
    <w:rsid w:val="005E34CA"/>
    <w:rsid w:val="005E3C18"/>
    <w:rsid w:val="005E4250"/>
    <w:rsid w:val="005E6812"/>
    <w:rsid w:val="005E7881"/>
    <w:rsid w:val="005E78E0"/>
    <w:rsid w:val="005F0D9C"/>
    <w:rsid w:val="005F0ECD"/>
    <w:rsid w:val="005F284E"/>
    <w:rsid w:val="005F3502"/>
    <w:rsid w:val="006015CE"/>
    <w:rsid w:val="00604784"/>
    <w:rsid w:val="00606419"/>
    <w:rsid w:val="00607D29"/>
    <w:rsid w:val="00612952"/>
    <w:rsid w:val="00614CC1"/>
    <w:rsid w:val="00615A9D"/>
    <w:rsid w:val="00617288"/>
    <w:rsid w:val="00617387"/>
    <w:rsid w:val="006205D6"/>
    <w:rsid w:val="006252D8"/>
    <w:rsid w:val="006259BC"/>
    <w:rsid w:val="0062636B"/>
    <w:rsid w:val="00627248"/>
    <w:rsid w:val="00627DB7"/>
    <w:rsid w:val="00632182"/>
    <w:rsid w:val="00632425"/>
    <w:rsid w:val="00632AE0"/>
    <w:rsid w:val="00633C17"/>
    <w:rsid w:val="00634D9E"/>
    <w:rsid w:val="00634F86"/>
    <w:rsid w:val="00636E3E"/>
    <w:rsid w:val="006379F7"/>
    <w:rsid w:val="00637E4D"/>
    <w:rsid w:val="00640620"/>
    <w:rsid w:val="00641A1F"/>
    <w:rsid w:val="00645904"/>
    <w:rsid w:val="00651ACB"/>
    <w:rsid w:val="00651C47"/>
    <w:rsid w:val="00652AB2"/>
    <w:rsid w:val="00653FED"/>
    <w:rsid w:val="00654EC0"/>
    <w:rsid w:val="00654F66"/>
    <w:rsid w:val="0065525B"/>
    <w:rsid w:val="00655D4F"/>
    <w:rsid w:val="00656D29"/>
    <w:rsid w:val="0066359B"/>
    <w:rsid w:val="006640E5"/>
    <w:rsid w:val="006646F1"/>
    <w:rsid w:val="00664929"/>
    <w:rsid w:val="00664F62"/>
    <w:rsid w:val="006655E1"/>
    <w:rsid w:val="00670D49"/>
    <w:rsid w:val="00672060"/>
    <w:rsid w:val="0067242A"/>
    <w:rsid w:val="006729D5"/>
    <w:rsid w:val="00672BFD"/>
    <w:rsid w:val="006755C2"/>
    <w:rsid w:val="006770F4"/>
    <w:rsid w:val="00677A84"/>
    <w:rsid w:val="0068026D"/>
    <w:rsid w:val="00680A27"/>
    <w:rsid w:val="006816A4"/>
    <w:rsid w:val="006819B8"/>
    <w:rsid w:val="00681D1D"/>
    <w:rsid w:val="00683A0D"/>
    <w:rsid w:val="006840A6"/>
    <w:rsid w:val="006850CD"/>
    <w:rsid w:val="0068546B"/>
    <w:rsid w:val="00685AAB"/>
    <w:rsid w:val="00685C9A"/>
    <w:rsid w:val="00686DD8"/>
    <w:rsid w:val="006963B7"/>
    <w:rsid w:val="006A07AA"/>
    <w:rsid w:val="006A25E5"/>
    <w:rsid w:val="006A2B46"/>
    <w:rsid w:val="006A336D"/>
    <w:rsid w:val="006A37B9"/>
    <w:rsid w:val="006B2616"/>
    <w:rsid w:val="006B2672"/>
    <w:rsid w:val="006B54BF"/>
    <w:rsid w:val="006B5F44"/>
    <w:rsid w:val="006B5F90"/>
    <w:rsid w:val="006B62E4"/>
    <w:rsid w:val="006C1BBA"/>
    <w:rsid w:val="006C2079"/>
    <w:rsid w:val="006C5A62"/>
    <w:rsid w:val="006C5D68"/>
    <w:rsid w:val="006C6976"/>
    <w:rsid w:val="006C6DD0"/>
    <w:rsid w:val="006C7CAB"/>
    <w:rsid w:val="006D04EA"/>
    <w:rsid w:val="006D16C4"/>
    <w:rsid w:val="006D314D"/>
    <w:rsid w:val="006D3E96"/>
    <w:rsid w:val="006D4515"/>
    <w:rsid w:val="006D4BB1"/>
    <w:rsid w:val="006D6237"/>
    <w:rsid w:val="006D6593"/>
    <w:rsid w:val="006E1A26"/>
    <w:rsid w:val="006F03A8"/>
    <w:rsid w:val="006F0B90"/>
    <w:rsid w:val="006F243B"/>
    <w:rsid w:val="006F2ACA"/>
    <w:rsid w:val="006F2ADC"/>
    <w:rsid w:val="006F2BFE"/>
    <w:rsid w:val="006F31E9"/>
    <w:rsid w:val="006F4C52"/>
    <w:rsid w:val="006F6284"/>
    <w:rsid w:val="006F6740"/>
    <w:rsid w:val="007002C5"/>
    <w:rsid w:val="00704387"/>
    <w:rsid w:val="00705954"/>
    <w:rsid w:val="00707669"/>
    <w:rsid w:val="00711CBA"/>
    <w:rsid w:val="00711FB5"/>
    <w:rsid w:val="00712A01"/>
    <w:rsid w:val="00714F58"/>
    <w:rsid w:val="00717135"/>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645"/>
    <w:rsid w:val="00746800"/>
    <w:rsid w:val="007501A8"/>
    <w:rsid w:val="00750D61"/>
    <w:rsid w:val="00750EE1"/>
    <w:rsid w:val="00752B4D"/>
    <w:rsid w:val="00755402"/>
    <w:rsid w:val="00756B26"/>
    <w:rsid w:val="00756EDF"/>
    <w:rsid w:val="007600E3"/>
    <w:rsid w:val="00765C43"/>
    <w:rsid w:val="00765EFB"/>
    <w:rsid w:val="007671CA"/>
    <w:rsid w:val="00767C61"/>
    <w:rsid w:val="00767EA9"/>
    <w:rsid w:val="0077008A"/>
    <w:rsid w:val="00773C1F"/>
    <w:rsid w:val="007745E2"/>
    <w:rsid w:val="00774DA4"/>
    <w:rsid w:val="00775D27"/>
    <w:rsid w:val="00776599"/>
    <w:rsid w:val="0078114B"/>
    <w:rsid w:val="00781DD2"/>
    <w:rsid w:val="00783ECF"/>
    <w:rsid w:val="0078413A"/>
    <w:rsid w:val="00794BF0"/>
    <w:rsid w:val="007959E8"/>
    <w:rsid w:val="00795E9C"/>
    <w:rsid w:val="007A0521"/>
    <w:rsid w:val="007A2E12"/>
    <w:rsid w:val="007A3475"/>
    <w:rsid w:val="007A34B3"/>
    <w:rsid w:val="007A41C8"/>
    <w:rsid w:val="007A4867"/>
    <w:rsid w:val="007A54CE"/>
    <w:rsid w:val="007A6FD9"/>
    <w:rsid w:val="007A7FFA"/>
    <w:rsid w:val="007B04EB"/>
    <w:rsid w:val="007B0D4F"/>
    <w:rsid w:val="007B0E34"/>
    <w:rsid w:val="007B5A3D"/>
    <w:rsid w:val="007B5B95"/>
    <w:rsid w:val="007B6032"/>
    <w:rsid w:val="007B68EA"/>
    <w:rsid w:val="007B69A3"/>
    <w:rsid w:val="007B7453"/>
    <w:rsid w:val="007C2D89"/>
    <w:rsid w:val="007C4593"/>
    <w:rsid w:val="007C5309"/>
    <w:rsid w:val="007C6069"/>
    <w:rsid w:val="007D0618"/>
    <w:rsid w:val="007D06C4"/>
    <w:rsid w:val="007D1352"/>
    <w:rsid w:val="007D2508"/>
    <w:rsid w:val="007D346A"/>
    <w:rsid w:val="007D6518"/>
    <w:rsid w:val="007D76BD"/>
    <w:rsid w:val="007E0BF1"/>
    <w:rsid w:val="007E240D"/>
    <w:rsid w:val="007E2641"/>
    <w:rsid w:val="007E64BC"/>
    <w:rsid w:val="007F0ED8"/>
    <w:rsid w:val="007F0F63"/>
    <w:rsid w:val="007F723C"/>
    <w:rsid w:val="007F75CE"/>
    <w:rsid w:val="008013A4"/>
    <w:rsid w:val="008027CE"/>
    <w:rsid w:val="00802F42"/>
    <w:rsid w:val="00803543"/>
    <w:rsid w:val="00804383"/>
    <w:rsid w:val="00804BB7"/>
    <w:rsid w:val="00804D41"/>
    <w:rsid w:val="00810257"/>
    <w:rsid w:val="008104F5"/>
    <w:rsid w:val="00811072"/>
    <w:rsid w:val="00811369"/>
    <w:rsid w:val="00814ABE"/>
    <w:rsid w:val="00815419"/>
    <w:rsid w:val="008163C8"/>
    <w:rsid w:val="008164A1"/>
    <w:rsid w:val="00817192"/>
    <w:rsid w:val="00817325"/>
    <w:rsid w:val="00817A27"/>
    <w:rsid w:val="008209E6"/>
    <w:rsid w:val="00821C51"/>
    <w:rsid w:val="008229B0"/>
    <w:rsid w:val="00823303"/>
    <w:rsid w:val="008233B2"/>
    <w:rsid w:val="00823A9F"/>
    <w:rsid w:val="00823C85"/>
    <w:rsid w:val="00825138"/>
    <w:rsid w:val="008269DD"/>
    <w:rsid w:val="00826ED7"/>
    <w:rsid w:val="00830621"/>
    <w:rsid w:val="0083348C"/>
    <w:rsid w:val="008373D3"/>
    <w:rsid w:val="00840617"/>
    <w:rsid w:val="00840F84"/>
    <w:rsid w:val="0084258F"/>
    <w:rsid w:val="00842A47"/>
    <w:rsid w:val="00843104"/>
    <w:rsid w:val="00843C13"/>
    <w:rsid w:val="008454F8"/>
    <w:rsid w:val="008502AB"/>
    <w:rsid w:val="00850EEE"/>
    <w:rsid w:val="0085173A"/>
    <w:rsid w:val="008563F1"/>
    <w:rsid w:val="00857B22"/>
    <w:rsid w:val="008603CE"/>
    <w:rsid w:val="008620FC"/>
    <w:rsid w:val="008627A5"/>
    <w:rsid w:val="00863E05"/>
    <w:rsid w:val="008658A0"/>
    <w:rsid w:val="00865ACA"/>
    <w:rsid w:val="00865D28"/>
    <w:rsid w:val="00865F85"/>
    <w:rsid w:val="00866547"/>
    <w:rsid w:val="0086730C"/>
    <w:rsid w:val="00867C10"/>
    <w:rsid w:val="00870439"/>
    <w:rsid w:val="00870DA1"/>
    <w:rsid w:val="0087409C"/>
    <w:rsid w:val="00880A28"/>
    <w:rsid w:val="00880BA9"/>
    <w:rsid w:val="00883F93"/>
    <w:rsid w:val="00884DB3"/>
    <w:rsid w:val="00885A9D"/>
    <w:rsid w:val="008864F6"/>
    <w:rsid w:val="008878D2"/>
    <w:rsid w:val="0089049D"/>
    <w:rsid w:val="008928C9"/>
    <w:rsid w:val="008930CB"/>
    <w:rsid w:val="0089326C"/>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562C"/>
    <w:rsid w:val="008B7E05"/>
    <w:rsid w:val="008C1797"/>
    <w:rsid w:val="008C219C"/>
    <w:rsid w:val="008C30B2"/>
    <w:rsid w:val="008C475E"/>
    <w:rsid w:val="008C619A"/>
    <w:rsid w:val="008D0CE8"/>
    <w:rsid w:val="008D129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085"/>
    <w:rsid w:val="008F4C29"/>
    <w:rsid w:val="008F70BD"/>
    <w:rsid w:val="008F788F"/>
    <w:rsid w:val="008F7BE8"/>
    <w:rsid w:val="008F7EA2"/>
    <w:rsid w:val="00900404"/>
    <w:rsid w:val="00902722"/>
    <w:rsid w:val="009027BC"/>
    <w:rsid w:val="009062E6"/>
    <w:rsid w:val="009111E5"/>
    <w:rsid w:val="009118E3"/>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6B9B"/>
    <w:rsid w:val="00953604"/>
    <w:rsid w:val="0095496B"/>
    <w:rsid w:val="00955D6E"/>
    <w:rsid w:val="00960F1E"/>
    <w:rsid w:val="009610DC"/>
    <w:rsid w:val="00961490"/>
    <w:rsid w:val="0096381A"/>
    <w:rsid w:val="00965E04"/>
    <w:rsid w:val="009674AD"/>
    <w:rsid w:val="00970CDC"/>
    <w:rsid w:val="009713A2"/>
    <w:rsid w:val="00975727"/>
    <w:rsid w:val="00977010"/>
    <w:rsid w:val="00977D02"/>
    <w:rsid w:val="00977FF9"/>
    <w:rsid w:val="0098037C"/>
    <w:rsid w:val="009804C6"/>
    <w:rsid w:val="009809BB"/>
    <w:rsid w:val="0098364B"/>
    <w:rsid w:val="00983DFD"/>
    <w:rsid w:val="009908A3"/>
    <w:rsid w:val="009911AF"/>
    <w:rsid w:val="00991875"/>
    <w:rsid w:val="00991F92"/>
    <w:rsid w:val="00992985"/>
    <w:rsid w:val="00993889"/>
    <w:rsid w:val="0099551B"/>
    <w:rsid w:val="00996BD2"/>
    <w:rsid w:val="00997BF1"/>
    <w:rsid w:val="009A01E1"/>
    <w:rsid w:val="009A089C"/>
    <w:rsid w:val="009A118E"/>
    <w:rsid w:val="009A21CD"/>
    <w:rsid w:val="009A278C"/>
    <w:rsid w:val="009A2BC2"/>
    <w:rsid w:val="009A375C"/>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FFB"/>
    <w:rsid w:val="009E4A58"/>
    <w:rsid w:val="009E5A2D"/>
    <w:rsid w:val="009E5AB2"/>
    <w:rsid w:val="009E6219"/>
    <w:rsid w:val="009F03B3"/>
    <w:rsid w:val="009F2C48"/>
    <w:rsid w:val="00A0096C"/>
    <w:rsid w:val="00A01757"/>
    <w:rsid w:val="00A028C0"/>
    <w:rsid w:val="00A02BAE"/>
    <w:rsid w:val="00A05250"/>
    <w:rsid w:val="00A06A6B"/>
    <w:rsid w:val="00A07E47"/>
    <w:rsid w:val="00A129D0"/>
    <w:rsid w:val="00A12C33"/>
    <w:rsid w:val="00A138BA"/>
    <w:rsid w:val="00A14C8E"/>
    <w:rsid w:val="00A153D9"/>
    <w:rsid w:val="00A15F09"/>
    <w:rsid w:val="00A169B6"/>
    <w:rsid w:val="00A2271D"/>
    <w:rsid w:val="00A237D5"/>
    <w:rsid w:val="00A24C93"/>
    <w:rsid w:val="00A2678B"/>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354"/>
    <w:rsid w:val="00A50D5A"/>
    <w:rsid w:val="00A54C1C"/>
    <w:rsid w:val="00A55BD6"/>
    <w:rsid w:val="00A55D50"/>
    <w:rsid w:val="00A57142"/>
    <w:rsid w:val="00A648CD"/>
    <w:rsid w:val="00A6537A"/>
    <w:rsid w:val="00A653B5"/>
    <w:rsid w:val="00A67866"/>
    <w:rsid w:val="00A70B07"/>
    <w:rsid w:val="00A723F8"/>
    <w:rsid w:val="00A77588"/>
    <w:rsid w:val="00A77CCB"/>
    <w:rsid w:val="00A80044"/>
    <w:rsid w:val="00A81F8C"/>
    <w:rsid w:val="00A83D8D"/>
    <w:rsid w:val="00A8446B"/>
    <w:rsid w:val="00A8473F"/>
    <w:rsid w:val="00A862D6"/>
    <w:rsid w:val="00A86748"/>
    <w:rsid w:val="00A8715E"/>
    <w:rsid w:val="00A9295B"/>
    <w:rsid w:val="00A93B09"/>
    <w:rsid w:val="00A952D7"/>
    <w:rsid w:val="00A963F7"/>
    <w:rsid w:val="00A96AD8"/>
    <w:rsid w:val="00AA052C"/>
    <w:rsid w:val="00AA1E45"/>
    <w:rsid w:val="00AA2F54"/>
    <w:rsid w:val="00AA4286"/>
    <w:rsid w:val="00AA456B"/>
    <w:rsid w:val="00AA57F5"/>
    <w:rsid w:val="00AA672E"/>
    <w:rsid w:val="00AA6EC9"/>
    <w:rsid w:val="00AA72D7"/>
    <w:rsid w:val="00AB00C5"/>
    <w:rsid w:val="00AB6309"/>
    <w:rsid w:val="00AB6C5F"/>
    <w:rsid w:val="00AB7129"/>
    <w:rsid w:val="00AC27A6"/>
    <w:rsid w:val="00AC30F7"/>
    <w:rsid w:val="00AC3A5A"/>
    <w:rsid w:val="00AC4099"/>
    <w:rsid w:val="00AC4302"/>
    <w:rsid w:val="00AC4D95"/>
    <w:rsid w:val="00AC5DF4"/>
    <w:rsid w:val="00AC7A5F"/>
    <w:rsid w:val="00AD0AEF"/>
    <w:rsid w:val="00AD11B7"/>
    <w:rsid w:val="00AD1A94"/>
    <w:rsid w:val="00AD1C05"/>
    <w:rsid w:val="00AD1DA7"/>
    <w:rsid w:val="00AD4126"/>
    <w:rsid w:val="00AD421C"/>
    <w:rsid w:val="00AD44FA"/>
    <w:rsid w:val="00AE070A"/>
    <w:rsid w:val="00AE101C"/>
    <w:rsid w:val="00AE2A69"/>
    <w:rsid w:val="00AE37E5"/>
    <w:rsid w:val="00AE5EB4"/>
    <w:rsid w:val="00AF0C18"/>
    <w:rsid w:val="00AF47C5"/>
    <w:rsid w:val="00AF5398"/>
    <w:rsid w:val="00AF5D54"/>
    <w:rsid w:val="00B0008F"/>
    <w:rsid w:val="00B049AF"/>
    <w:rsid w:val="00B04F2C"/>
    <w:rsid w:val="00B07242"/>
    <w:rsid w:val="00B1032E"/>
    <w:rsid w:val="00B10534"/>
    <w:rsid w:val="00B113DB"/>
    <w:rsid w:val="00B11D8A"/>
    <w:rsid w:val="00B12981"/>
    <w:rsid w:val="00B147DD"/>
    <w:rsid w:val="00B156FD"/>
    <w:rsid w:val="00B21F61"/>
    <w:rsid w:val="00B2259C"/>
    <w:rsid w:val="00B233FA"/>
    <w:rsid w:val="00B23738"/>
    <w:rsid w:val="00B23A5C"/>
    <w:rsid w:val="00B246F1"/>
    <w:rsid w:val="00B261F1"/>
    <w:rsid w:val="00B26457"/>
    <w:rsid w:val="00B265BC"/>
    <w:rsid w:val="00B31FB1"/>
    <w:rsid w:val="00B33952"/>
    <w:rsid w:val="00B33C5E"/>
    <w:rsid w:val="00B342F4"/>
    <w:rsid w:val="00B34369"/>
    <w:rsid w:val="00B34DC2"/>
    <w:rsid w:val="00B3519E"/>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C9"/>
    <w:rsid w:val="00B66FE5"/>
    <w:rsid w:val="00B72880"/>
    <w:rsid w:val="00B758BF"/>
    <w:rsid w:val="00B75F02"/>
    <w:rsid w:val="00B76BDC"/>
    <w:rsid w:val="00B77EC8"/>
    <w:rsid w:val="00B827A6"/>
    <w:rsid w:val="00B82E6C"/>
    <w:rsid w:val="00B831CE"/>
    <w:rsid w:val="00B86677"/>
    <w:rsid w:val="00B87131"/>
    <w:rsid w:val="00B939B1"/>
    <w:rsid w:val="00B96D40"/>
    <w:rsid w:val="00B97386"/>
    <w:rsid w:val="00BA263B"/>
    <w:rsid w:val="00BA2712"/>
    <w:rsid w:val="00BA42B2"/>
    <w:rsid w:val="00BA58D4"/>
    <w:rsid w:val="00BA5B9E"/>
    <w:rsid w:val="00BA642E"/>
    <w:rsid w:val="00BA7C9A"/>
    <w:rsid w:val="00BB4E40"/>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125"/>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1B1"/>
    <w:rsid w:val="00C44BF5"/>
    <w:rsid w:val="00C51042"/>
    <w:rsid w:val="00C521D6"/>
    <w:rsid w:val="00C53C31"/>
    <w:rsid w:val="00C55232"/>
    <w:rsid w:val="00C553A4"/>
    <w:rsid w:val="00C55A06"/>
    <w:rsid w:val="00C55D03"/>
    <w:rsid w:val="00C57AA8"/>
    <w:rsid w:val="00C601BC"/>
    <w:rsid w:val="00C6329F"/>
    <w:rsid w:val="00C63340"/>
    <w:rsid w:val="00C6360C"/>
    <w:rsid w:val="00C643F9"/>
    <w:rsid w:val="00C64E95"/>
    <w:rsid w:val="00C65FF1"/>
    <w:rsid w:val="00C71372"/>
    <w:rsid w:val="00C72410"/>
    <w:rsid w:val="00C7287F"/>
    <w:rsid w:val="00C80CB8"/>
    <w:rsid w:val="00C819F8"/>
    <w:rsid w:val="00C8248C"/>
    <w:rsid w:val="00C84E33"/>
    <w:rsid w:val="00C86D6F"/>
    <w:rsid w:val="00C905FC"/>
    <w:rsid w:val="00C911B5"/>
    <w:rsid w:val="00C92D03"/>
    <w:rsid w:val="00C9319C"/>
    <w:rsid w:val="00C9435D"/>
    <w:rsid w:val="00C94DF2"/>
    <w:rsid w:val="00C95357"/>
    <w:rsid w:val="00C96741"/>
    <w:rsid w:val="00CA1C4F"/>
    <w:rsid w:val="00CA2D1B"/>
    <w:rsid w:val="00CA375D"/>
    <w:rsid w:val="00CA662A"/>
    <w:rsid w:val="00CA7AFD"/>
    <w:rsid w:val="00CA7C3C"/>
    <w:rsid w:val="00CB0189"/>
    <w:rsid w:val="00CB0BA2"/>
    <w:rsid w:val="00CB1A42"/>
    <w:rsid w:val="00CB1B0C"/>
    <w:rsid w:val="00CB2C0B"/>
    <w:rsid w:val="00CB382E"/>
    <w:rsid w:val="00CB3DF6"/>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141"/>
    <w:rsid w:val="00D1067E"/>
    <w:rsid w:val="00D10F50"/>
    <w:rsid w:val="00D11272"/>
    <w:rsid w:val="00D126F5"/>
    <w:rsid w:val="00D1489E"/>
    <w:rsid w:val="00D20737"/>
    <w:rsid w:val="00D21E81"/>
    <w:rsid w:val="00D223DE"/>
    <w:rsid w:val="00D23B16"/>
    <w:rsid w:val="00D25E37"/>
    <w:rsid w:val="00D2611F"/>
    <w:rsid w:val="00D2661A"/>
    <w:rsid w:val="00D27582"/>
    <w:rsid w:val="00D279D9"/>
    <w:rsid w:val="00D27EC4"/>
    <w:rsid w:val="00D32719"/>
    <w:rsid w:val="00D33333"/>
    <w:rsid w:val="00D352A2"/>
    <w:rsid w:val="00D4162B"/>
    <w:rsid w:val="00D441FF"/>
    <w:rsid w:val="00D4514F"/>
    <w:rsid w:val="00D451E2"/>
    <w:rsid w:val="00D45E89"/>
    <w:rsid w:val="00D45E8D"/>
    <w:rsid w:val="00D466AE"/>
    <w:rsid w:val="00D47023"/>
    <w:rsid w:val="00D4734F"/>
    <w:rsid w:val="00D51BF3"/>
    <w:rsid w:val="00D661F6"/>
    <w:rsid w:val="00D66846"/>
    <w:rsid w:val="00D6716E"/>
    <w:rsid w:val="00D675FB"/>
    <w:rsid w:val="00D71F25"/>
    <w:rsid w:val="00D72A9C"/>
    <w:rsid w:val="00D77031"/>
    <w:rsid w:val="00D774D9"/>
    <w:rsid w:val="00D84941"/>
    <w:rsid w:val="00D84FA1"/>
    <w:rsid w:val="00D851F0"/>
    <w:rsid w:val="00D86DB7"/>
    <w:rsid w:val="00D87BF5"/>
    <w:rsid w:val="00D90721"/>
    <w:rsid w:val="00D90AA9"/>
    <w:rsid w:val="00D926D0"/>
    <w:rsid w:val="00D93030"/>
    <w:rsid w:val="00D950E1"/>
    <w:rsid w:val="00D952A6"/>
    <w:rsid w:val="00D97F99"/>
    <w:rsid w:val="00DA157A"/>
    <w:rsid w:val="00DA1E08"/>
    <w:rsid w:val="00DA24F8"/>
    <w:rsid w:val="00DA28E8"/>
    <w:rsid w:val="00DA38D3"/>
    <w:rsid w:val="00DA3932"/>
    <w:rsid w:val="00DA3AFC"/>
    <w:rsid w:val="00DA64F8"/>
    <w:rsid w:val="00DA6C15"/>
    <w:rsid w:val="00DB0258"/>
    <w:rsid w:val="00DB38EE"/>
    <w:rsid w:val="00DB498B"/>
    <w:rsid w:val="00DB5A4B"/>
    <w:rsid w:val="00DB66CA"/>
    <w:rsid w:val="00DB6BCA"/>
    <w:rsid w:val="00DB6F54"/>
    <w:rsid w:val="00DB73F7"/>
    <w:rsid w:val="00DC0321"/>
    <w:rsid w:val="00DC28CD"/>
    <w:rsid w:val="00DC3067"/>
    <w:rsid w:val="00DC370B"/>
    <w:rsid w:val="00DC5B90"/>
    <w:rsid w:val="00DD00FF"/>
    <w:rsid w:val="00DD0619"/>
    <w:rsid w:val="00DD07FB"/>
    <w:rsid w:val="00DD18C6"/>
    <w:rsid w:val="00DD25C6"/>
    <w:rsid w:val="00DD4FE5"/>
    <w:rsid w:val="00DD54B0"/>
    <w:rsid w:val="00DD57EE"/>
    <w:rsid w:val="00DD5F62"/>
    <w:rsid w:val="00DD6BCC"/>
    <w:rsid w:val="00DE0A4B"/>
    <w:rsid w:val="00DE2410"/>
    <w:rsid w:val="00DE2939"/>
    <w:rsid w:val="00DE6E81"/>
    <w:rsid w:val="00DE703F"/>
    <w:rsid w:val="00DE7595"/>
    <w:rsid w:val="00DF0C48"/>
    <w:rsid w:val="00DF1961"/>
    <w:rsid w:val="00DF44DE"/>
    <w:rsid w:val="00DF45E3"/>
    <w:rsid w:val="00DF5C33"/>
    <w:rsid w:val="00E01138"/>
    <w:rsid w:val="00E02DFB"/>
    <w:rsid w:val="00E030F9"/>
    <w:rsid w:val="00E0311A"/>
    <w:rsid w:val="00E03138"/>
    <w:rsid w:val="00E06404"/>
    <w:rsid w:val="00E104B1"/>
    <w:rsid w:val="00E10690"/>
    <w:rsid w:val="00E10A7E"/>
    <w:rsid w:val="00E11A85"/>
    <w:rsid w:val="00E12495"/>
    <w:rsid w:val="00E15CCD"/>
    <w:rsid w:val="00E202EF"/>
    <w:rsid w:val="00E210B5"/>
    <w:rsid w:val="00E2552F"/>
    <w:rsid w:val="00E3137A"/>
    <w:rsid w:val="00E31D4F"/>
    <w:rsid w:val="00E32CCF"/>
    <w:rsid w:val="00E338AC"/>
    <w:rsid w:val="00E34A98"/>
    <w:rsid w:val="00E35D1E"/>
    <w:rsid w:val="00E364F9"/>
    <w:rsid w:val="00E365FA"/>
    <w:rsid w:val="00E36789"/>
    <w:rsid w:val="00E40309"/>
    <w:rsid w:val="00E40B37"/>
    <w:rsid w:val="00E41CB3"/>
    <w:rsid w:val="00E4494E"/>
    <w:rsid w:val="00E44A83"/>
    <w:rsid w:val="00E502C1"/>
    <w:rsid w:val="00E502DD"/>
    <w:rsid w:val="00E50D3A"/>
    <w:rsid w:val="00E51387"/>
    <w:rsid w:val="00E51E68"/>
    <w:rsid w:val="00E52EFD"/>
    <w:rsid w:val="00E5408A"/>
    <w:rsid w:val="00E56800"/>
    <w:rsid w:val="00E60C63"/>
    <w:rsid w:val="00E6130F"/>
    <w:rsid w:val="00E6285B"/>
    <w:rsid w:val="00E62FF9"/>
    <w:rsid w:val="00E635D6"/>
    <w:rsid w:val="00E639BC"/>
    <w:rsid w:val="00E664CC"/>
    <w:rsid w:val="00E70388"/>
    <w:rsid w:val="00E70F92"/>
    <w:rsid w:val="00E74313"/>
    <w:rsid w:val="00E74C54"/>
    <w:rsid w:val="00E755B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1083"/>
    <w:rsid w:val="00EA4FDD"/>
    <w:rsid w:val="00EA58D1"/>
    <w:rsid w:val="00EA61BC"/>
    <w:rsid w:val="00EA681A"/>
    <w:rsid w:val="00EA735B"/>
    <w:rsid w:val="00EB1E69"/>
    <w:rsid w:val="00EB2086"/>
    <w:rsid w:val="00EB31ED"/>
    <w:rsid w:val="00EB5EDF"/>
    <w:rsid w:val="00EB60FE"/>
    <w:rsid w:val="00EB74DB"/>
    <w:rsid w:val="00EC0C46"/>
    <w:rsid w:val="00EC5359"/>
    <w:rsid w:val="00EC562A"/>
    <w:rsid w:val="00ED067A"/>
    <w:rsid w:val="00ED2910"/>
    <w:rsid w:val="00ED2B50"/>
    <w:rsid w:val="00EE0350"/>
    <w:rsid w:val="00EE0719"/>
    <w:rsid w:val="00EE0E80"/>
    <w:rsid w:val="00EE613F"/>
    <w:rsid w:val="00EE7295"/>
    <w:rsid w:val="00EE7869"/>
    <w:rsid w:val="00EF054A"/>
    <w:rsid w:val="00EF3235"/>
    <w:rsid w:val="00EF5B04"/>
    <w:rsid w:val="00EF7E72"/>
    <w:rsid w:val="00F06566"/>
    <w:rsid w:val="00F06D37"/>
    <w:rsid w:val="00F07B9D"/>
    <w:rsid w:val="00F1152A"/>
    <w:rsid w:val="00F11586"/>
    <w:rsid w:val="00F1183B"/>
    <w:rsid w:val="00F11C69"/>
    <w:rsid w:val="00F11C9F"/>
    <w:rsid w:val="00F12263"/>
    <w:rsid w:val="00F1409D"/>
    <w:rsid w:val="00F14214"/>
    <w:rsid w:val="00F157A9"/>
    <w:rsid w:val="00F16F00"/>
    <w:rsid w:val="00F25BB6"/>
    <w:rsid w:val="00F26B7E"/>
    <w:rsid w:val="00F27A3B"/>
    <w:rsid w:val="00F33817"/>
    <w:rsid w:val="00F40A3F"/>
    <w:rsid w:val="00F420D5"/>
    <w:rsid w:val="00F43E6D"/>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5A7D"/>
    <w:rsid w:val="00F963ED"/>
    <w:rsid w:val="00F966CF"/>
    <w:rsid w:val="00F96CAE"/>
    <w:rsid w:val="00F97C99"/>
    <w:rsid w:val="00FA3054"/>
    <w:rsid w:val="00FA662D"/>
    <w:rsid w:val="00FA73B1"/>
    <w:rsid w:val="00FB0CB9"/>
    <w:rsid w:val="00FB2063"/>
    <w:rsid w:val="00FB231D"/>
    <w:rsid w:val="00FB3CB8"/>
    <w:rsid w:val="00FB45F1"/>
    <w:rsid w:val="00FB4A72"/>
    <w:rsid w:val="00FB54E8"/>
    <w:rsid w:val="00FB7054"/>
    <w:rsid w:val="00FB747F"/>
    <w:rsid w:val="00FC17B7"/>
    <w:rsid w:val="00FC2CB7"/>
    <w:rsid w:val="00FC4090"/>
    <w:rsid w:val="00FC55B4"/>
    <w:rsid w:val="00FD00E6"/>
    <w:rsid w:val="00FD09A1"/>
    <w:rsid w:val="00FD113B"/>
    <w:rsid w:val="00FD2A7C"/>
    <w:rsid w:val="00FD59EB"/>
    <w:rsid w:val="00FD6EA4"/>
    <w:rsid w:val="00FD7299"/>
    <w:rsid w:val="00FE0A76"/>
    <w:rsid w:val="00FE1FBE"/>
    <w:rsid w:val="00FE3901"/>
    <w:rsid w:val="00FE39D3"/>
    <w:rsid w:val="00FE4BCE"/>
    <w:rsid w:val="00FE54AE"/>
    <w:rsid w:val="00FE576A"/>
    <w:rsid w:val="00FE5ED2"/>
    <w:rsid w:val="00FE7E79"/>
    <w:rsid w:val="00FF2F33"/>
    <w:rsid w:val="00FF3E7D"/>
    <w:rsid w:val="00FF5B99"/>
    <w:rsid w:val="00FF5F7A"/>
    <w:rsid w:val="00FF730C"/>
    <w:rsid w:val="00FF73F4"/>
    <w:rsid w:val="00FF7CE4"/>
    <w:rsid w:val="00FF7E39"/>
    <w:rsid w:val="013B7408"/>
    <w:rsid w:val="01415A0B"/>
    <w:rsid w:val="01CD7566"/>
    <w:rsid w:val="0398701C"/>
    <w:rsid w:val="04F856C0"/>
    <w:rsid w:val="05A52CD4"/>
    <w:rsid w:val="05DC13F1"/>
    <w:rsid w:val="08384706"/>
    <w:rsid w:val="09236EB6"/>
    <w:rsid w:val="09EE233A"/>
    <w:rsid w:val="09FA3EA3"/>
    <w:rsid w:val="0A2C17A5"/>
    <w:rsid w:val="0B610ABA"/>
    <w:rsid w:val="0C9116E2"/>
    <w:rsid w:val="0CC5668C"/>
    <w:rsid w:val="0DBD4137"/>
    <w:rsid w:val="0DC12235"/>
    <w:rsid w:val="0F64775C"/>
    <w:rsid w:val="0FE10DAC"/>
    <w:rsid w:val="12364728"/>
    <w:rsid w:val="127F4A5D"/>
    <w:rsid w:val="12E00C9D"/>
    <w:rsid w:val="14671C4F"/>
    <w:rsid w:val="154B5642"/>
    <w:rsid w:val="162F55FC"/>
    <w:rsid w:val="16E576DF"/>
    <w:rsid w:val="175C6F6A"/>
    <w:rsid w:val="192A6CAC"/>
    <w:rsid w:val="1AC2544F"/>
    <w:rsid w:val="1ACB4B33"/>
    <w:rsid w:val="1B977992"/>
    <w:rsid w:val="1BBC6A84"/>
    <w:rsid w:val="1BF6566B"/>
    <w:rsid w:val="1C12484C"/>
    <w:rsid w:val="1D17405F"/>
    <w:rsid w:val="1E2F3F02"/>
    <w:rsid w:val="1F705077"/>
    <w:rsid w:val="20214B27"/>
    <w:rsid w:val="21112704"/>
    <w:rsid w:val="2168541C"/>
    <w:rsid w:val="22692E68"/>
    <w:rsid w:val="228564F6"/>
    <w:rsid w:val="246533DF"/>
    <w:rsid w:val="24BB5C18"/>
    <w:rsid w:val="255E4DCE"/>
    <w:rsid w:val="265C22FB"/>
    <w:rsid w:val="2675177A"/>
    <w:rsid w:val="274A4A2D"/>
    <w:rsid w:val="2B4759C9"/>
    <w:rsid w:val="2B9E76FA"/>
    <w:rsid w:val="2E2F6D2F"/>
    <w:rsid w:val="2E530C6F"/>
    <w:rsid w:val="2ED527E6"/>
    <w:rsid w:val="2F087CAC"/>
    <w:rsid w:val="2F79377B"/>
    <w:rsid w:val="30975F04"/>
    <w:rsid w:val="30FF25D8"/>
    <w:rsid w:val="326F1422"/>
    <w:rsid w:val="33BE64D3"/>
    <w:rsid w:val="34BA0737"/>
    <w:rsid w:val="36E60223"/>
    <w:rsid w:val="372633C5"/>
    <w:rsid w:val="377C2FE5"/>
    <w:rsid w:val="387A5A8F"/>
    <w:rsid w:val="3A632DF3"/>
    <w:rsid w:val="3CFA0B76"/>
    <w:rsid w:val="3D0870C9"/>
    <w:rsid w:val="3D197A98"/>
    <w:rsid w:val="3ED6747E"/>
    <w:rsid w:val="3F054307"/>
    <w:rsid w:val="3F830C89"/>
    <w:rsid w:val="3FF01B86"/>
    <w:rsid w:val="415E48DE"/>
    <w:rsid w:val="424741EF"/>
    <w:rsid w:val="428B736F"/>
    <w:rsid w:val="432F3754"/>
    <w:rsid w:val="44145531"/>
    <w:rsid w:val="446B65F9"/>
    <w:rsid w:val="44B57B36"/>
    <w:rsid w:val="454667B6"/>
    <w:rsid w:val="45E14139"/>
    <w:rsid w:val="46B7198E"/>
    <w:rsid w:val="46B75628"/>
    <w:rsid w:val="47946129"/>
    <w:rsid w:val="482F19AD"/>
    <w:rsid w:val="488366FC"/>
    <w:rsid w:val="48E320F8"/>
    <w:rsid w:val="48E842FF"/>
    <w:rsid w:val="49AD38FD"/>
    <w:rsid w:val="49BC54C3"/>
    <w:rsid w:val="49E05655"/>
    <w:rsid w:val="4AA20615"/>
    <w:rsid w:val="4B3B3307"/>
    <w:rsid w:val="4B7562D5"/>
    <w:rsid w:val="4C0A0489"/>
    <w:rsid w:val="4D6C7200"/>
    <w:rsid w:val="4D6E3AFA"/>
    <w:rsid w:val="4DD35EA2"/>
    <w:rsid w:val="4EA96313"/>
    <w:rsid w:val="4EC92CA2"/>
    <w:rsid w:val="4F0B62E9"/>
    <w:rsid w:val="514C307E"/>
    <w:rsid w:val="515303E8"/>
    <w:rsid w:val="51621046"/>
    <w:rsid w:val="52E8378C"/>
    <w:rsid w:val="53804432"/>
    <w:rsid w:val="540E7263"/>
    <w:rsid w:val="54115AB7"/>
    <w:rsid w:val="55CD277B"/>
    <w:rsid w:val="5634689E"/>
    <w:rsid w:val="566526F8"/>
    <w:rsid w:val="56704D88"/>
    <w:rsid w:val="57D4431F"/>
    <w:rsid w:val="57FE2A9D"/>
    <w:rsid w:val="59FD0B97"/>
    <w:rsid w:val="5A952BAC"/>
    <w:rsid w:val="5B51560B"/>
    <w:rsid w:val="5F311A04"/>
    <w:rsid w:val="60D040EA"/>
    <w:rsid w:val="63755125"/>
    <w:rsid w:val="63E5769E"/>
    <w:rsid w:val="64626C11"/>
    <w:rsid w:val="65022023"/>
    <w:rsid w:val="65EC3C24"/>
    <w:rsid w:val="669A71BA"/>
    <w:rsid w:val="66D01633"/>
    <w:rsid w:val="67E92CE5"/>
    <w:rsid w:val="688E1341"/>
    <w:rsid w:val="69C70BF9"/>
    <w:rsid w:val="6A436A18"/>
    <w:rsid w:val="6B967216"/>
    <w:rsid w:val="6D5414F4"/>
    <w:rsid w:val="6DEA2090"/>
    <w:rsid w:val="6DFD265F"/>
    <w:rsid w:val="6ECE4B52"/>
    <w:rsid w:val="70967C23"/>
    <w:rsid w:val="71D81B49"/>
    <w:rsid w:val="7235067D"/>
    <w:rsid w:val="72831A83"/>
    <w:rsid w:val="72911513"/>
    <w:rsid w:val="740F40B8"/>
    <w:rsid w:val="75FC1068"/>
    <w:rsid w:val="76165C06"/>
    <w:rsid w:val="7640616E"/>
    <w:rsid w:val="77E31623"/>
    <w:rsid w:val="78A376CA"/>
    <w:rsid w:val="79620AE3"/>
    <w:rsid w:val="7975290A"/>
    <w:rsid w:val="7A9F5904"/>
    <w:rsid w:val="7C030BAC"/>
    <w:rsid w:val="7C852F0A"/>
    <w:rsid w:val="7D7A4E9D"/>
    <w:rsid w:val="7E8912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99"/>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7"/>
    <w:semiHidden/>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sz w:val="24"/>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FollowedHyperlink"/>
    <w:basedOn w:val="29"/>
    <w:semiHidden/>
    <w:unhideWhenUsed/>
    <w:qFormat/>
    <w:uiPriority w:val="99"/>
    <w:rPr>
      <w:color w:val="954F72"/>
      <w:u w:val="single"/>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99"/>
    <w:rPr>
      <w:rFonts w:ascii="Times New Roman" w:hAnsi="Times New Roman" w:eastAsia="宋体" w:cs="Times New Roman"/>
      <w:b/>
      <w:bCs/>
      <w:kern w:val="44"/>
      <w:sz w:val="44"/>
      <w:szCs w:val="44"/>
    </w:rPr>
  </w:style>
  <w:style w:type="character" w:customStyle="1" w:styleId="37">
    <w:name w:val="标题 2 字符"/>
    <w:link w:val="3"/>
    <w:qFormat/>
    <w:uiPriority w:val="99"/>
    <w:rPr>
      <w:rFonts w:ascii="Arial" w:hAnsi="Arial" w:eastAsia="黑体" w:cs="Times New Roman"/>
      <w:b/>
      <w:bCs/>
      <w:sz w:val="32"/>
      <w:szCs w:val="32"/>
    </w:rPr>
  </w:style>
  <w:style w:type="character" w:customStyle="1" w:styleId="38">
    <w:name w:val="标题 3 字符"/>
    <w:link w:val="4"/>
    <w:qFormat/>
    <w:uiPriority w:val="99"/>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页眉 字符"/>
    <w:link w:val="18"/>
    <w:qFormat/>
    <w:uiPriority w:val="99"/>
    <w:rPr>
      <w:rFonts w:ascii="Times New Roman" w:hAnsi="Times New Roman" w:eastAsia="宋体" w:cs="Times New Roman"/>
      <w:sz w:val="18"/>
      <w:szCs w:val="18"/>
    </w:rPr>
  </w:style>
  <w:style w:type="character" w:customStyle="1" w:styleId="46">
    <w:name w:val="页脚 字符"/>
    <w:link w:val="17"/>
    <w:qFormat/>
    <w:uiPriority w:val="99"/>
    <w:rPr>
      <w:rFonts w:ascii="宋体" w:hAnsi="Times New Roman" w:eastAsia="宋体" w:cs="Times New Roman"/>
      <w:sz w:val="18"/>
      <w:szCs w:val="18"/>
    </w:rPr>
  </w:style>
  <w:style w:type="character" w:customStyle="1" w:styleId="47">
    <w:name w:val="批注框文本 字符"/>
    <w:link w:val="16"/>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rPr>
  </w:style>
  <w:style w:type="character" w:customStyle="1" w:styleId="50">
    <w:name w:val="标题 字符"/>
    <w:link w:val="26"/>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1"/>
    <w:semiHidden/>
    <w:qFormat/>
    <w:uiPriority w:val="0"/>
    <w:rPr>
      <w:rFonts w:ascii="宋体" w:hAnsi="Times New Roman" w:eastAsia="宋体" w:cs="Times New Roman"/>
      <w:sz w:val="18"/>
      <w:szCs w:val="18"/>
    </w:rPr>
  </w:style>
  <w:style w:type="paragraph" w:customStyle="1" w:styleId="10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Times New Roman" w:hAnsi="Times New Roman" w:eastAsia="宋体"/>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style>
  <w:style w:type="paragraph" w:customStyle="1" w:styleId="191">
    <w:name w:val="标准文件_一级项2"/>
    <w:basedOn w:val="58"/>
    <w:qFormat/>
    <w:uiPriority w:val="0"/>
    <w:pPr>
      <w:numPr>
        <w:ilvl w:val="0"/>
        <w:numId w:val="31"/>
      </w:numPr>
      <w:spacing w:line="300" w:lineRule="exact"/>
      <w:ind w:left="1271" w:hanging="420"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eastAsia="宋体"/>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character" w:customStyle="1" w:styleId="232">
    <w:name w:val="msoplaceholdertext"/>
    <w:basedOn w:val="29"/>
    <w:qFormat/>
    <w:uiPriority w:val="0"/>
    <w:rPr>
      <w:color w:val="808080"/>
    </w:rPr>
  </w:style>
  <w:style w:type="paragraph" w:customStyle="1" w:styleId="233">
    <w:name w:val="附录编号B"/>
    <w:basedOn w:val="1"/>
    <w:qFormat/>
    <w:uiPriority w:val="0"/>
    <w:pPr>
      <w:widowControl/>
      <w:numPr>
        <w:ilvl w:val="1"/>
        <w:numId w:val="32"/>
      </w:numPr>
      <w:snapToGrid w:val="0"/>
      <w:spacing w:before="50" w:beforeLines="50" w:after="50" w:afterLines="50" w:line="240" w:lineRule="auto"/>
      <w:jc w:val="center"/>
    </w:pPr>
    <w:rPr>
      <w:rFonts w:hint="eastAsia" w:ascii="黑体" w:hAnsi="黑体" w:eastAsia="黑体"/>
      <w:b/>
      <w:bCs/>
      <w:kern w:val="21"/>
      <w:szCs w:val="20"/>
    </w:rPr>
  </w:style>
  <w:style w:type="paragraph" w:customStyle="1" w:styleId="234">
    <w:name w:val="20221028"/>
    <w:basedOn w:val="1"/>
    <w:qFormat/>
    <w:uiPriority w:val="0"/>
    <w:pPr>
      <w:widowControl/>
      <w:numPr>
        <w:ilvl w:val="1"/>
        <w:numId w:val="33"/>
      </w:numPr>
      <w:snapToGrid w:val="0"/>
      <w:spacing w:before="50" w:beforeLines="50" w:after="50" w:afterLines="50" w:line="240" w:lineRule="auto"/>
      <w:jc w:val="center"/>
    </w:pPr>
    <w:rPr>
      <w:rFonts w:hint="eastAsia" w:ascii="黑体" w:hAnsi="黑体" w:eastAsia="黑体"/>
      <w:b/>
      <w:bCs/>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glossaryDocument" Target="glossary/document.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7.jpeg"/><Relationship Id="rId43" Type="http://schemas.openxmlformats.org/officeDocument/2006/relationships/image" Target="media/image6.png"/><Relationship Id="rId42" Type="http://schemas.openxmlformats.org/officeDocument/2006/relationships/image" Target="media/image5.png"/><Relationship Id="rId41" Type="http://schemas.openxmlformats.org/officeDocument/2006/relationships/image" Target="media/image4.png"/><Relationship Id="rId40" Type="http://schemas.openxmlformats.org/officeDocument/2006/relationships/image" Target="media/image3.png"/><Relationship Id="rId4" Type="http://schemas.openxmlformats.org/officeDocument/2006/relationships/endnotes" Target="endnotes.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6AF9988B424574BECC40D890C283F5"/>
        <w:style w:val=""/>
        <w:category>
          <w:name w:val="常规"/>
          <w:gallery w:val="placeholder"/>
        </w:category>
        <w:types>
          <w:type w:val="bbPlcHdr"/>
        </w:types>
        <w:behaviors>
          <w:behavior w:val="content"/>
        </w:behaviors>
        <w:description w:val=""/>
        <w:guid w:val="{A1901293-304F-4582-AB09-CF063132D9E3}"/>
      </w:docPartPr>
      <w:docPartBody>
        <w:p>
          <w:pPr>
            <w:pStyle w:val="5"/>
          </w:pPr>
          <w:r>
            <w:rPr>
              <w:rStyle w:val="4"/>
              <w:rFonts w:hint="eastAsia"/>
            </w:rPr>
            <w:t>单击或点击此处输入文字。</w:t>
          </w:r>
        </w:p>
      </w:docPartBody>
    </w:docPart>
    <w:docPart>
      <w:docPartPr>
        <w:name w:val="0EC078EDBDCE42F5B7581585807708C3"/>
        <w:style w:val=""/>
        <w:category>
          <w:name w:val="常规"/>
          <w:gallery w:val="placeholder"/>
        </w:category>
        <w:types>
          <w:type w:val="bbPlcHdr"/>
        </w:types>
        <w:behaviors>
          <w:behavior w:val="content"/>
        </w:behaviors>
        <w:description w:val=""/>
        <w:guid w:val="{A32E6A7B-575B-4C1A-80D2-D253A8BB9F0E}"/>
      </w:docPartPr>
      <w:docPartBody>
        <w:p>
          <w:pPr>
            <w:pStyle w:val="6"/>
          </w:pPr>
          <w:r>
            <w:rPr>
              <w:rStyle w:val="4"/>
              <w:rFonts w:hint="eastAsia"/>
            </w:rPr>
            <w:t>选择一项。</w:t>
          </w:r>
        </w:p>
      </w:docPartBody>
    </w:docPart>
    <w:docPart>
      <w:docPartPr>
        <w:name w:val="9CB15896D6ED493995F33BCA867487AF"/>
        <w:style w:val=""/>
        <w:category>
          <w:name w:val="常规"/>
          <w:gallery w:val="placeholder"/>
        </w:category>
        <w:types>
          <w:type w:val="bbPlcHdr"/>
        </w:types>
        <w:behaviors>
          <w:behavior w:val="content"/>
        </w:behaviors>
        <w:description w:val=""/>
        <w:guid w:val="{BDB947D7-3738-458F-98A4-B7E6A5481CD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72"/>
    <w:rsid w:val="000A1CA0"/>
    <w:rsid w:val="00147A7E"/>
    <w:rsid w:val="001A5420"/>
    <w:rsid w:val="001F67B4"/>
    <w:rsid w:val="002701A1"/>
    <w:rsid w:val="00336157"/>
    <w:rsid w:val="003C67A2"/>
    <w:rsid w:val="004D1EE9"/>
    <w:rsid w:val="00524BD9"/>
    <w:rsid w:val="00534526"/>
    <w:rsid w:val="005B053F"/>
    <w:rsid w:val="00697733"/>
    <w:rsid w:val="00715D71"/>
    <w:rsid w:val="0078271D"/>
    <w:rsid w:val="00807560"/>
    <w:rsid w:val="00916C28"/>
    <w:rsid w:val="00926D11"/>
    <w:rsid w:val="00A03072"/>
    <w:rsid w:val="00A2324D"/>
    <w:rsid w:val="00A929C7"/>
    <w:rsid w:val="00B64525"/>
    <w:rsid w:val="00BE7D84"/>
    <w:rsid w:val="00EE5EB5"/>
    <w:rsid w:val="00F1065A"/>
    <w:rsid w:val="00F94F95"/>
    <w:rsid w:val="00FF09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E6AF9988B424574BECC40D890C283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EC078EDBDCE42F5B7581585807708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CB15896D6ED493995F33BCA867487A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C9B6CC-57BF-4EDE-927F-CDF920E987E6}">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35</Pages>
  <Words>21254</Words>
  <Characters>22538</Characters>
  <Lines>183</Lines>
  <Paragraphs>51</Paragraphs>
  <TotalTime>5</TotalTime>
  <ScaleCrop>false</ScaleCrop>
  <LinksUpToDate>false</LinksUpToDate>
  <CharactersWithSpaces>22691</CharactersWithSpaces>
  <HyperlinkBase>54445254d806000001006a0300000000303365626431363937623763323736656562346565346335346236336138353737343364633137393030633834313532626337663731363131306333313039303165656235386236653063633438373939396530623734323839653735303665842a0000b03da564942a0000a11ea66497a2ab6409a3ab64842a0000942a00007a0300008a0300007d764b6610620000000000000000000000000000000000000000000000000000000000000000000000000000000000000000000000000000000000000000000000000000000000000000000000000000000000000000000000000000000000000000000000000000000000000000000000000000000000009b854a8589834e00000000000000000000000000000000000000000000000000000000000000000000000000000000000000000000000000000000000000000000000000000000000000000000000000000000000000000000000000000000000000000000000000000000000000000000000000000000007d764b6610620000000000000000000000000000000000000000000000000000000000000000000000000000000000000000000000000000000000000000000000000000000000000000000000000000000000000000000000000000000000000000000000000000000000000000000000000000000000005500730065007200310030003900300030000000000000000000000000000000000000000000000000000000000000000000000000000000000000000000000000000000000000000000000000000000000000000000000000000000000000000000000000000000000000000000000000000000000000005700650043006800610074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20000000000000068fb03000000000092a2ab643831346633363763613934333235386264393838383830393765656632363066</HyperlinkBase>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2023-05-16T05:18:00Z</dcterms:created>
  <dc:creator>微软用户</dc:creator>
  <dc:description>&lt;config cover="true" show_menu="true" version="1.0.0" doctype="SDKXY"&gt;_x000d_
&lt;/config&gt;</dc:description>
  <cp:lastModifiedBy>王凤</cp:lastModifiedBy>
  <cp:lastPrinted>2021-02-02T08:22:00Z</cp:lastPrinted>
  <dcterms:modified xsi:type="dcterms:W3CDTF">2023-07-18T02:42:54Z</dcterms:modified>
  <dc:title>团体标准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1D8F8A8A815C458F9FFA0556D7AFD1E0_13</vt:lpwstr>
  </property>
  <property fmtid="{D5CDD505-2E9C-101B-9397-08002B2CF9AE}" pid="16" name="DoublePage">
    <vt:lpwstr>true</vt:lpwstr>
  </property>
</Properties>
</file>