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w:t>
            </w:r>
            <w:r>
              <w:rPr>
                <w:rFonts w:hint="eastAsia" w:ascii="黑体" w:hAnsi="黑体" w:eastAsia="黑体"/>
                <w:sz w:val="21"/>
                <w:szCs w:val="21"/>
              </w:rPr>
              <w:t>.</w:t>
            </w:r>
            <w:r>
              <w:rPr>
                <w:rFonts w:ascii="黑体" w:hAnsi="黑体" w:eastAsia="黑体"/>
                <w:sz w:val="21"/>
                <w:szCs w:val="21"/>
              </w:rPr>
              <w:t>2</w:t>
            </w:r>
            <w:r>
              <w:rPr>
                <w:rFonts w:hint="eastAsia" w:ascii="黑体" w:hAnsi="黑体" w:eastAsia="黑体"/>
                <w:sz w:val="21"/>
                <w:szCs w:val="21"/>
              </w:rPr>
              <w:t>40.</w:t>
            </w:r>
            <w:r>
              <w:rPr>
                <w:rFonts w:ascii="黑体" w:hAnsi="黑体" w:eastAsia="黑体"/>
                <w:sz w:val="21"/>
                <w:szCs w:val="21"/>
              </w:rPr>
              <w:t>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w:t>
            </w:r>
            <w:r>
              <w:rPr>
                <w:rFonts w:ascii="黑体" w:hAnsi="黑体" w:eastAsia="黑体"/>
                <w:sz w:val="21"/>
                <w:szCs w:val="21"/>
              </w:rPr>
              <w:t xml:space="preserve"> 07</w:t>
            </w:r>
            <w:r>
              <w:rPr>
                <w:rFonts w:ascii="黑体" w:hAnsi="黑体" w:eastAsia="黑体"/>
                <w:sz w:val="21"/>
                <w:szCs w:val="21"/>
              </w:rPr>
              <w:fldChar w:fldCharType="end"/>
            </w:r>
            <w:bookmarkEnd w:id="1"/>
          </w:p>
        </w:tc>
      </w:tr>
    </w:tbl>
    <w:p>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6"/>
        <w:framePr w:wrap="around"/>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7"/>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铸造行业云服务平台建设与应用指南</w:t>
      </w:r>
      <w:r>
        <w:fldChar w:fldCharType="end"/>
      </w:r>
      <w:bookmarkEnd w:id="7"/>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color w:val="auto"/>
          <w:szCs w:val="28"/>
        </w:rPr>
      </w:pPr>
      <w:bookmarkStart w:id="8" w:name="ESTD_NAME"/>
      <w:r>
        <w:rPr>
          <w:rFonts w:hint="eastAsia" w:eastAsia="黑体"/>
          <w:color w:val="auto"/>
          <w:szCs w:val="28"/>
        </w:rPr>
        <w:fldChar w:fldCharType="begin">
          <w:ffData>
            <w:name w:val="ESTD_NAME"/>
            <w:enabled/>
            <w:calcOnExit w:val="0"/>
            <w:textInput>
              <w:default w:val="Construction and application guide cloud service platform in foundry industry"/>
            </w:textInput>
          </w:ffData>
        </w:fldChar>
      </w:r>
      <w:r>
        <w:rPr>
          <w:rFonts w:hint="eastAsia" w:eastAsia="黑体"/>
          <w:color w:val="auto"/>
          <w:szCs w:val="28"/>
        </w:rPr>
        <w:instrText xml:space="preserve">FORMTEXT</w:instrText>
      </w:r>
      <w:r>
        <w:rPr>
          <w:rFonts w:hint="eastAsia" w:eastAsia="黑体"/>
          <w:color w:val="auto"/>
          <w:szCs w:val="28"/>
        </w:rPr>
        <w:fldChar w:fldCharType="separate"/>
      </w:r>
      <w:r>
        <w:rPr>
          <w:rFonts w:hint="eastAsia" w:eastAsia="黑体"/>
          <w:color w:val="auto"/>
          <w:szCs w:val="28"/>
        </w:rPr>
        <w:t>Construction and application guide cloud service platform in foundry industry</w:t>
      </w:r>
      <w:r>
        <w:rPr>
          <w:rFonts w:hint="eastAsia" w:eastAsia="黑体"/>
          <w:color w:val="auto"/>
          <w:szCs w:val="28"/>
        </w:rPr>
        <w:fldChar w:fldCharType="end"/>
      </w:r>
      <w:bookmarkEnd w:id="8"/>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6"/>
        <w:framePr w:w="9639" w:h="6974" w:hRule="exact" w:wrap="around" w:vAnchor="page" w:hAnchor="page" w:x="1419" w:y="6408" w:anchorLock="1"/>
        <w:spacing w:before="720" w:beforeLines="300" w:after="72" w:afterLines="30" w:line="240" w:lineRule="auto"/>
        <w:textAlignment w:val="bottom"/>
        <w:rPr>
          <w:b/>
          <w:color w:val="auto"/>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360"/>
      </w:pPr>
      <w:bookmarkStart w:id="19"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"_Toc135310693" </w:instrText>
      </w:r>
      <w:r>
        <w:fldChar w:fldCharType="separate"/>
      </w:r>
      <w:r>
        <w:rPr>
          <w:rStyle w:val="33"/>
          <w:spacing w:val="320"/>
        </w:rPr>
        <w:t>前</w:t>
      </w:r>
      <w:r>
        <w:rPr>
          <w:rStyle w:val="33"/>
        </w:rPr>
        <w:t>言</w:t>
      </w:r>
      <w:r>
        <w:tab/>
      </w:r>
      <w:r>
        <w:fldChar w:fldCharType="begin"/>
      </w:r>
      <w:r>
        <w:instrText xml:space="preserve"> PAGEREF _Toc135310693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"_Toc135310694" </w:instrText>
      </w:r>
      <w:r>
        <w:fldChar w:fldCharType="separate"/>
      </w:r>
      <w:r>
        <w:rPr>
          <w:rStyle w:val="33"/>
          <w:spacing w:val="320"/>
        </w:rPr>
        <w:t>引</w:t>
      </w:r>
      <w:r>
        <w:rPr>
          <w:rStyle w:val="33"/>
        </w:rPr>
        <w:t>言</w:t>
      </w:r>
      <w:r>
        <w:tab/>
      </w:r>
      <w:r>
        <w:fldChar w:fldCharType="begin"/>
      </w:r>
      <w:r>
        <w:instrText xml:space="preserve"> PAGEREF _Toc135310694 \h </w:instrText>
      </w:r>
      <w:r>
        <w:fldChar w:fldCharType="separate"/>
      </w:r>
      <w:r>
        <w:t>IV</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"_Toc135310695" </w:instrText>
      </w:r>
      <w:r>
        <w:fldChar w:fldCharType="separate"/>
      </w:r>
      <w:r>
        <w:rPr>
          <w:rStyle w:val="33"/>
        </w:rPr>
        <w:t>1 范围</w:t>
      </w:r>
      <w:r>
        <w:tab/>
      </w:r>
      <w:r>
        <w:fldChar w:fldCharType="begin"/>
      </w:r>
      <w:r>
        <w:instrText xml:space="preserve"> PAGEREF _Toc135310695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"_Toc135310696" </w:instrText>
      </w:r>
      <w:r>
        <w:fldChar w:fldCharType="separate"/>
      </w:r>
      <w:r>
        <w:rPr>
          <w:rStyle w:val="33"/>
        </w:rPr>
        <w:t>2 规范性引用文件</w:t>
      </w:r>
      <w:r>
        <w:tab/>
      </w:r>
      <w:r>
        <w:fldChar w:fldCharType="begin"/>
      </w:r>
      <w:r>
        <w:instrText xml:space="preserve"> PAGEREF _Toc135310696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"_Toc135310697" </w:instrText>
      </w:r>
      <w:r>
        <w:fldChar w:fldCharType="separate"/>
      </w:r>
      <w:r>
        <w:rPr>
          <w:rStyle w:val="33"/>
        </w:rPr>
        <w:t>3 术语、定义和缩略语</w:t>
      </w:r>
      <w:r>
        <w:tab/>
      </w:r>
      <w:r>
        <w:fldChar w:fldCharType="begin"/>
      </w:r>
      <w:r>
        <w:instrText xml:space="preserve"> PAGEREF _Toc135310697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"_Toc135310700" </w:instrText>
      </w:r>
      <w:r>
        <w:fldChar w:fldCharType="separate"/>
      </w:r>
      <w:r>
        <w:rPr>
          <w:rStyle w:val="33"/>
        </w:rPr>
        <w:t>4 建设原则</w:t>
      </w:r>
      <w:r>
        <w:tab/>
      </w:r>
      <w:r>
        <w:fldChar w:fldCharType="begin"/>
      </w:r>
      <w:r>
        <w:instrText xml:space="preserve"> PAGEREF _Toc135310700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"_Toc135310701" </w:instrText>
      </w:r>
      <w:r>
        <w:fldChar w:fldCharType="separate"/>
      </w:r>
      <w:r>
        <w:rPr>
          <w:rStyle w:val="33"/>
          <w14:scene3d>
            <w14:lightRig w14:rig="threePt" w14:dir="t">
              <w14:rot w14:lat="0" w14:lon="0" w14:rev="0"/>
            </w14:lightRig>
          </w14:scene3d>
        </w:rPr>
        <w:t>4.1</w:t>
      </w:r>
      <w:r>
        <w:rPr>
          <w:rStyle w:val="33"/>
        </w:rPr>
        <w:t xml:space="preserve"> 可扩展性原则</w:t>
      </w:r>
      <w:r>
        <w:tab/>
      </w:r>
      <w:r>
        <w:fldChar w:fldCharType="begin"/>
      </w:r>
      <w:r>
        <w:instrText xml:space="preserve"> PAGEREF _Toc135310701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"_Toc135310702" </w:instrText>
      </w:r>
      <w:r>
        <w:fldChar w:fldCharType="separate"/>
      </w:r>
      <w:r>
        <w:rPr>
          <w:rStyle w:val="33"/>
          <w14:scene3d>
            <w14:lightRig w14:rig="threePt" w14:dir="t">
              <w14:rot w14:lat="0" w14:lon="0" w14:rev="0"/>
            </w14:lightRig>
          </w14:scene3d>
        </w:rPr>
        <w:t>4.2</w:t>
      </w:r>
      <w:r>
        <w:rPr>
          <w:rStyle w:val="33"/>
        </w:rPr>
        <w:t xml:space="preserve"> 易用性原则</w:t>
      </w:r>
      <w:r>
        <w:tab/>
      </w:r>
      <w:r>
        <w:fldChar w:fldCharType="begin"/>
      </w:r>
      <w:r>
        <w:instrText xml:space="preserve"> PAGEREF _Toc135310702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"_Toc135310703" </w:instrText>
      </w:r>
      <w:r>
        <w:fldChar w:fldCharType="separate"/>
      </w:r>
      <w:r>
        <w:rPr>
          <w:rStyle w:val="33"/>
          <w14:scene3d>
            <w14:lightRig w14:rig="threePt" w14:dir="t">
              <w14:rot w14:lat="0" w14:lon="0" w14:rev="0"/>
            </w14:lightRig>
          </w14:scene3d>
        </w:rPr>
        <w:t>4.3</w:t>
      </w:r>
      <w:r>
        <w:rPr>
          <w:rStyle w:val="33"/>
        </w:rPr>
        <w:t xml:space="preserve"> 安全性原则</w:t>
      </w:r>
      <w:r>
        <w:tab/>
      </w:r>
      <w:r>
        <w:fldChar w:fldCharType="begin"/>
      </w:r>
      <w:r>
        <w:instrText xml:space="preserve"> PAGEREF _Toc135310703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"_Toc135310704" </w:instrText>
      </w:r>
      <w:r>
        <w:fldChar w:fldCharType="separate"/>
      </w:r>
      <w:r>
        <w:rPr>
          <w:rStyle w:val="33"/>
          <w14:scene3d>
            <w14:lightRig w14:rig="threePt" w14:dir="t">
              <w14:rot w14:lat="0" w14:lon="0" w14:rev="0"/>
            </w14:lightRig>
          </w14:scene3d>
        </w:rPr>
        <w:t>4.4</w:t>
      </w:r>
      <w:r>
        <w:rPr>
          <w:rStyle w:val="33"/>
        </w:rPr>
        <w:t xml:space="preserve"> 可靠性原则</w:t>
      </w:r>
      <w:r>
        <w:tab/>
      </w:r>
      <w:r>
        <w:fldChar w:fldCharType="begin"/>
      </w:r>
      <w:r>
        <w:instrText xml:space="preserve"> PAGEREF _Toc135310704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"_Toc135310705" </w:instrText>
      </w:r>
      <w:r>
        <w:fldChar w:fldCharType="separate"/>
      </w:r>
      <w:r>
        <w:rPr>
          <w:rStyle w:val="33"/>
        </w:rPr>
        <w:t>5 铸造行业云服务平台业务架构</w:t>
      </w:r>
      <w:r>
        <w:tab/>
      </w:r>
      <w:r>
        <w:fldChar w:fldCharType="begin"/>
      </w:r>
      <w:r>
        <w:instrText xml:space="preserve"> PAGEREF _Toc135310705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"_Toc135310706" </w:instrText>
      </w:r>
      <w:r>
        <w:fldChar w:fldCharType="separate"/>
      </w:r>
      <w:r>
        <w:rPr>
          <w:rStyle w:val="33"/>
          <w14:scene3d>
            <w14:lightRig w14:rig="threePt" w14:dir="t">
              <w14:rot w14:lat="0" w14:lon="0" w14:rev="0"/>
            </w14:lightRig>
          </w14:scene3d>
        </w:rPr>
        <w:t>5.1</w:t>
      </w:r>
      <w:r>
        <w:rPr>
          <w:rStyle w:val="33"/>
        </w:rPr>
        <w:t xml:space="preserve"> 铸造行业云服务平台业务范围</w:t>
      </w:r>
      <w:r>
        <w:tab/>
      </w:r>
      <w:r>
        <w:fldChar w:fldCharType="begin"/>
      </w:r>
      <w:r>
        <w:instrText xml:space="preserve"> PAGEREF _Toc135310706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"_Toc135310707" </w:instrText>
      </w:r>
      <w:r>
        <w:fldChar w:fldCharType="separate"/>
      </w:r>
      <w:r>
        <w:rPr>
          <w:rStyle w:val="33"/>
          <w14:scene3d>
            <w14:lightRig w14:rig="threePt" w14:dir="t">
              <w14:rot w14:lat="0" w14:lon="0" w14:rev="0"/>
            </w14:lightRig>
          </w14:scene3d>
        </w:rPr>
        <w:t>5.2</w:t>
      </w:r>
      <w:r>
        <w:rPr>
          <w:rStyle w:val="33"/>
        </w:rPr>
        <w:t xml:space="preserve"> 平台核心业务服务</w:t>
      </w:r>
      <w:r>
        <w:tab/>
      </w:r>
      <w:r>
        <w:fldChar w:fldCharType="begin"/>
      </w:r>
      <w:r>
        <w:instrText xml:space="preserve"> PAGEREF _Toc135310707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"_Toc135310714" </w:instrText>
      </w:r>
      <w:r>
        <w:fldChar w:fldCharType="separate"/>
      </w:r>
      <w:r>
        <w:rPr>
          <w:rStyle w:val="33"/>
        </w:rPr>
        <w:t>6 铸造行业云服务平台应用架构</w:t>
      </w:r>
      <w:r>
        <w:tab/>
      </w:r>
      <w:r>
        <w:fldChar w:fldCharType="begin"/>
      </w:r>
      <w:r>
        <w:instrText xml:space="preserve"> PAGEREF _Toc135310714 \h </w:instrText>
      </w:r>
      <w:r>
        <w:fldChar w:fldCharType="separate"/>
      </w:r>
      <w:r>
        <w:t>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"_Toc135310715" </w:instrText>
      </w:r>
      <w:r>
        <w:fldChar w:fldCharType="separate"/>
      </w:r>
      <w:r>
        <w:rPr>
          <w:rStyle w:val="33"/>
          <w14:scene3d>
            <w14:lightRig w14:rig="threePt" w14:dir="t">
              <w14:rot w14:lat="0" w14:lon="0" w14:rev="0"/>
            </w14:lightRig>
          </w14:scene3d>
        </w:rPr>
        <w:t>6.1</w:t>
      </w:r>
      <w:r>
        <w:rPr>
          <w:rStyle w:val="33"/>
        </w:rPr>
        <w:t xml:space="preserve"> 概述</w:t>
      </w:r>
      <w:r>
        <w:tab/>
      </w:r>
      <w:r>
        <w:fldChar w:fldCharType="begin"/>
      </w:r>
      <w:r>
        <w:instrText xml:space="preserve"> PAGEREF _Toc135310715 \h </w:instrText>
      </w:r>
      <w:r>
        <w:fldChar w:fldCharType="separate"/>
      </w:r>
      <w:r>
        <w:t>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"_Toc135310716" </w:instrText>
      </w:r>
      <w:r>
        <w:fldChar w:fldCharType="separate"/>
      </w:r>
      <w:r>
        <w:rPr>
          <w:rStyle w:val="33"/>
          <w14:scene3d>
            <w14:lightRig w14:rig="threePt" w14:dir="t">
              <w14:rot w14:lat="0" w14:lon="0" w14:rev="0"/>
            </w14:lightRig>
          </w14:scene3d>
        </w:rPr>
        <w:t>6.2</w:t>
      </w:r>
      <w:r>
        <w:rPr>
          <w:rStyle w:val="33"/>
        </w:rPr>
        <w:t xml:space="preserve"> 软件租赁</w:t>
      </w:r>
      <w:r>
        <w:tab/>
      </w:r>
      <w:r>
        <w:fldChar w:fldCharType="begin"/>
      </w:r>
      <w:r>
        <w:instrText xml:space="preserve"> PAGEREF _Toc135310716 \h </w:instrText>
      </w:r>
      <w:r>
        <w:fldChar w:fldCharType="separate"/>
      </w:r>
      <w:r>
        <w:t>11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"_Toc135310717" </w:instrText>
      </w:r>
      <w:r>
        <w:fldChar w:fldCharType="separate"/>
      </w:r>
      <w:r>
        <w:rPr>
          <w:rStyle w:val="33"/>
          <w14:scene3d>
            <w14:lightRig w14:rig="threePt" w14:dir="t">
              <w14:rot w14:lat="0" w14:lon="0" w14:rev="0"/>
            </w14:lightRig>
          </w14:scene3d>
        </w:rPr>
        <w:t>6.3</w:t>
      </w:r>
      <w:r>
        <w:rPr>
          <w:rStyle w:val="33"/>
        </w:rPr>
        <w:t xml:space="preserve"> 产品交易</w:t>
      </w:r>
      <w:r>
        <w:tab/>
      </w:r>
      <w:r>
        <w:fldChar w:fldCharType="begin"/>
      </w:r>
      <w:r>
        <w:instrText xml:space="preserve"> PAGEREF _Toc135310717 \h </w:instrText>
      </w:r>
      <w:r>
        <w:fldChar w:fldCharType="separate"/>
      </w:r>
      <w:r>
        <w:t>11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"_Toc135310718" </w:instrText>
      </w:r>
      <w:r>
        <w:fldChar w:fldCharType="separate"/>
      </w:r>
      <w:r>
        <w:rPr>
          <w:rStyle w:val="33"/>
          <w14:scene3d>
            <w14:lightRig w14:rig="threePt" w14:dir="t">
              <w14:rot w14:lat="0" w14:lon="0" w14:rev="0"/>
            </w14:lightRig>
          </w14:scene3d>
        </w:rPr>
        <w:t>6.4</w:t>
      </w:r>
      <w:r>
        <w:rPr>
          <w:rStyle w:val="33"/>
        </w:rPr>
        <w:t xml:space="preserve"> 供需对接</w:t>
      </w:r>
      <w:r>
        <w:tab/>
      </w:r>
      <w:r>
        <w:fldChar w:fldCharType="begin"/>
      </w:r>
      <w:r>
        <w:instrText xml:space="preserve"> PAGEREF _Toc135310718 \h </w:instrText>
      </w:r>
      <w:r>
        <w:fldChar w:fldCharType="separate"/>
      </w:r>
      <w:r>
        <w:t>11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"_Toc135310719" </w:instrText>
      </w:r>
      <w:r>
        <w:fldChar w:fldCharType="separate"/>
      </w:r>
      <w:r>
        <w:rPr>
          <w:rStyle w:val="33"/>
          <w14:scene3d>
            <w14:lightRig w14:rig="threePt" w14:dir="t">
              <w14:rot w14:lat="0" w14:lon="0" w14:rev="0"/>
            </w14:lightRig>
          </w14:scene3d>
        </w:rPr>
        <w:t>6.5</w:t>
      </w:r>
      <w:r>
        <w:rPr>
          <w:rStyle w:val="33"/>
        </w:rPr>
        <w:t xml:space="preserve"> 数据查看</w:t>
      </w:r>
      <w:r>
        <w:tab/>
      </w:r>
      <w:r>
        <w:fldChar w:fldCharType="begin"/>
      </w:r>
      <w:r>
        <w:instrText xml:space="preserve"> PAGEREF _Toc135310719 \h </w:instrText>
      </w:r>
      <w:r>
        <w:fldChar w:fldCharType="separate"/>
      </w:r>
      <w:r>
        <w:t>12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"_Toc135310720" </w:instrText>
      </w:r>
      <w:r>
        <w:fldChar w:fldCharType="separate"/>
      </w:r>
      <w:r>
        <w:rPr>
          <w:rStyle w:val="33"/>
          <w14:scene3d>
            <w14:lightRig w14:rig="threePt" w14:dir="t">
              <w14:rot w14:lat="0" w14:lon="0" w14:rev="0"/>
            </w14:lightRig>
          </w14:scene3d>
        </w:rPr>
        <w:t>6.6</w:t>
      </w:r>
      <w:r>
        <w:rPr>
          <w:rStyle w:val="33"/>
        </w:rPr>
        <w:t xml:space="preserve"> 培训</w:t>
      </w:r>
      <w:r>
        <w:tab/>
      </w:r>
      <w:r>
        <w:fldChar w:fldCharType="begin"/>
      </w:r>
      <w:r>
        <w:instrText xml:space="preserve"> PAGEREF _Toc135310720 \h </w:instrText>
      </w:r>
      <w:r>
        <w:fldChar w:fldCharType="separate"/>
      </w:r>
      <w:r>
        <w:t>12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"_Toc135310721" </w:instrText>
      </w:r>
      <w:r>
        <w:fldChar w:fldCharType="separate"/>
      </w:r>
      <w:r>
        <w:rPr>
          <w:rStyle w:val="33"/>
          <w14:scene3d>
            <w14:lightRig w14:rig="threePt" w14:dir="t">
              <w14:rot w14:lat="0" w14:lon="0" w14:rev="0"/>
            </w14:lightRig>
          </w14:scene3d>
        </w:rPr>
        <w:t>6.7</w:t>
      </w:r>
      <w:r>
        <w:rPr>
          <w:rStyle w:val="33"/>
        </w:rPr>
        <w:t xml:space="preserve"> 平台管理</w:t>
      </w:r>
      <w:r>
        <w:tab/>
      </w:r>
      <w:r>
        <w:fldChar w:fldCharType="begin"/>
      </w:r>
      <w:r>
        <w:instrText xml:space="preserve"> PAGEREF _Toc135310721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"_Toc135310722" </w:instrText>
      </w:r>
      <w:r>
        <w:fldChar w:fldCharType="separate"/>
      </w:r>
      <w:r>
        <w:rPr>
          <w:rStyle w:val="33"/>
        </w:rPr>
        <w:t>7 铸造行业云服务平台技术架构</w:t>
      </w:r>
      <w:r>
        <w:tab/>
      </w:r>
      <w:r>
        <w:fldChar w:fldCharType="begin"/>
      </w:r>
      <w:r>
        <w:instrText xml:space="preserve"> PAGEREF _Toc135310722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"_Toc135310723" </w:instrText>
      </w:r>
      <w:r>
        <w:fldChar w:fldCharType="separate"/>
      </w:r>
      <w:r>
        <w:rPr>
          <w:rStyle w:val="33"/>
          <w14:scene3d>
            <w14:lightRig w14:rig="threePt" w14:dir="t">
              <w14:rot w14:lat="0" w14:lon="0" w14:rev="0"/>
            </w14:lightRig>
          </w14:scene3d>
        </w:rPr>
        <w:t>7.1</w:t>
      </w:r>
      <w:r>
        <w:rPr>
          <w:rStyle w:val="33"/>
        </w:rPr>
        <w:t xml:space="preserve"> 铸造行业云服务平台层级</w:t>
      </w:r>
      <w:r>
        <w:tab/>
      </w:r>
      <w:r>
        <w:fldChar w:fldCharType="begin"/>
      </w:r>
      <w:r>
        <w:instrText xml:space="preserve"> PAGEREF _Toc135310723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"_Toc135310724" </w:instrText>
      </w:r>
      <w:r>
        <w:fldChar w:fldCharType="separate"/>
      </w:r>
      <w:r>
        <w:rPr>
          <w:rStyle w:val="33"/>
          <w14:scene3d>
            <w14:lightRig w14:rig="threePt" w14:dir="t">
              <w14:rot w14:lat="0" w14:lon="0" w14:rev="0"/>
            </w14:lightRig>
          </w14:scene3d>
        </w:rPr>
        <w:t>7.2</w:t>
      </w:r>
      <w:r>
        <w:rPr>
          <w:rStyle w:val="33"/>
        </w:rPr>
        <w:t xml:space="preserve"> 资源层</w:t>
      </w:r>
      <w:r>
        <w:tab/>
      </w:r>
      <w:r>
        <w:fldChar w:fldCharType="begin"/>
      </w:r>
      <w:r>
        <w:instrText xml:space="preserve"> PAGEREF _Toc135310724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"_Toc135310725" </w:instrText>
      </w:r>
      <w:r>
        <w:fldChar w:fldCharType="separate"/>
      </w:r>
      <w:r>
        <w:rPr>
          <w:rStyle w:val="33"/>
          <w14:scene3d>
            <w14:lightRig w14:rig="threePt" w14:dir="t">
              <w14:rot w14:lat="0" w14:lon="0" w14:rev="0"/>
            </w14:lightRig>
          </w14:scene3d>
        </w:rPr>
        <w:t>7.3</w:t>
      </w:r>
      <w:r>
        <w:rPr>
          <w:rStyle w:val="33"/>
        </w:rPr>
        <w:t xml:space="preserve"> 基础支撑层</w:t>
      </w:r>
      <w:r>
        <w:tab/>
      </w:r>
      <w:r>
        <w:fldChar w:fldCharType="begin"/>
      </w:r>
      <w:r>
        <w:instrText xml:space="preserve"> PAGEREF _Toc135310725 \h </w:instrText>
      </w:r>
      <w:r>
        <w:fldChar w:fldCharType="separate"/>
      </w:r>
      <w:r>
        <w:t>14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"_Toc135310726" </w:instrText>
      </w:r>
      <w:r>
        <w:fldChar w:fldCharType="separate"/>
      </w:r>
      <w:r>
        <w:rPr>
          <w:rStyle w:val="33"/>
          <w14:scene3d>
            <w14:lightRig w14:rig="threePt" w14:dir="t">
              <w14:rot w14:lat="0" w14:lon="0" w14:rev="0"/>
            </w14:lightRig>
          </w14:scene3d>
        </w:rPr>
        <w:t>7.4</w:t>
      </w:r>
      <w:r>
        <w:rPr>
          <w:rStyle w:val="33"/>
        </w:rPr>
        <w:t xml:space="preserve"> 平台集成运行环境层</w:t>
      </w:r>
      <w:r>
        <w:tab/>
      </w:r>
      <w:r>
        <w:fldChar w:fldCharType="begin"/>
      </w:r>
      <w:r>
        <w:instrText xml:space="preserve"> PAGEREF _Toc135310726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"_Toc135310727" </w:instrText>
      </w:r>
      <w:r>
        <w:fldChar w:fldCharType="separate"/>
      </w:r>
      <w:r>
        <w:rPr>
          <w:rStyle w:val="33"/>
          <w14:scene3d>
            <w14:lightRig w14:rig="threePt" w14:dir="t">
              <w14:rot w14:lat="0" w14:lon="0" w14:rev="0"/>
            </w14:lightRig>
          </w14:scene3d>
        </w:rPr>
        <w:t>7.5</w:t>
      </w:r>
      <w:r>
        <w:rPr>
          <w:rStyle w:val="33"/>
        </w:rPr>
        <w:t xml:space="preserve"> 持久化服务层</w:t>
      </w:r>
      <w:r>
        <w:tab/>
      </w:r>
      <w:r>
        <w:fldChar w:fldCharType="begin"/>
      </w:r>
      <w:r>
        <w:instrText xml:space="preserve"> PAGEREF _Toc135310727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"_Toc135310728" </w:instrText>
      </w:r>
      <w:r>
        <w:fldChar w:fldCharType="separate"/>
      </w:r>
      <w:r>
        <w:rPr>
          <w:rStyle w:val="33"/>
          <w14:scene3d>
            <w14:lightRig w14:rig="threePt" w14:dir="t">
              <w14:rot w14:lat="0" w14:lon="0" w14:rev="0"/>
            </w14:lightRig>
          </w14:scene3d>
        </w:rPr>
        <w:t>7.6</w:t>
      </w:r>
      <w:r>
        <w:rPr>
          <w:rStyle w:val="33"/>
        </w:rPr>
        <w:t xml:space="preserve"> 引擎层</w:t>
      </w:r>
      <w:r>
        <w:tab/>
      </w:r>
      <w:r>
        <w:fldChar w:fldCharType="begin"/>
      </w:r>
      <w:r>
        <w:instrText xml:space="preserve"> PAGEREF _Toc135310728 \h </w:instrText>
      </w:r>
      <w:r>
        <w:fldChar w:fldCharType="separate"/>
      </w:r>
      <w:r>
        <w:t>15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"_Toc135310729" </w:instrText>
      </w:r>
      <w:r>
        <w:fldChar w:fldCharType="separate"/>
      </w:r>
      <w:r>
        <w:rPr>
          <w:rStyle w:val="33"/>
          <w14:scene3d>
            <w14:lightRig w14:rig="threePt" w14:dir="t">
              <w14:rot w14:lat="0" w14:lon="0" w14:rev="0"/>
            </w14:lightRig>
          </w14:scene3d>
        </w:rPr>
        <w:t>7.7</w:t>
      </w:r>
      <w:r>
        <w:rPr>
          <w:rStyle w:val="33"/>
        </w:rPr>
        <w:t xml:space="preserve"> 工具层</w:t>
      </w:r>
      <w:r>
        <w:tab/>
      </w:r>
      <w:r>
        <w:fldChar w:fldCharType="begin"/>
      </w:r>
      <w:r>
        <w:instrText xml:space="preserve"> PAGEREF _Toc135310729 \h </w:instrText>
      </w:r>
      <w:r>
        <w:fldChar w:fldCharType="separate"/>
      </w:r>
      <w:r>
        <w:t>16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"_Toc135310730" </w:instrText>
      </w:r>
      <w:r>
        <w:fldChar w:fldCharType="separate"/>
      </w:r>
      <w:r>
        <w:rPr>
          <w:rStyle w:val="33"/>
          <w14:scene3d>
            <w14:lightRig w14:rig="threePt" w14:dir="t">
              <w14:rot w14:lat="0" w14:lon="0" w14:rev="0"/>
            </w14:lightRig>
          </w14:scene3d>
        </w:rPr>
        <w:t>7.8</w:t>
      </w:r>
      <w:r>
        <w:rPr>
          <w:rStyle w:val="33"/>
        </w:rPr>
        <w:t xml:space="preserve"> 用户层</w:t>
      </w:r>
      <w:r>
        <w:tab/>
      </w:r>
      <w:r>
        <w:fldChar w:fldCharType="begin"/>
      </w:r>
      <w:r>
        <w:instrText xml:space="preserve"> PAGEREF _Toc135310730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"_Toc135310731" </w:instrText>
      </w:r>
      <w:r>
        <w:fldChar w:fldCharType="separate"/>
      </w:r>
      <w:r>
        <w:rPr>
          <w:rStyle w:val="33"/>
          <w:spacing w:val="105"/>
        </w:rPr>
        <w:t>参考文</w:t>
      </w:r>
      <w:r>
        <w:rPr>
          <w:rStyle w:val="33"/>
        </w:rPr>
        <w:t>献</w:t>
      </w:r>
      <w:r>
        <w:tab/>
      </w:r>
      <w:r>
        <w:fldChar w:fldCharType="begin"/>
      </w:r>
      <w:r>
        <w:instrText xml:space="preserve"> PAGEREF _Toc135310731 \h </w:instrText>
      </w:r>
      <w:r>
        <w:fldChar w:fldCharType="separate"/>
      </w:r>
      <w:r>
        <w:t>17</w:t>
      </w:r>
      <w:r>
        <w:fldChar w:fldCharType="end"/>
      </w:r>
      <w:r>
        <w:fldChar w:fldCharType="end"/>
      </w:r>
    </w:p>
    <w:p>
      <w:pPr>
        <w:pStyle w:val="57"/>
        <w:spacing w:line="300" w:lineRule="exact"/>
        <w:ind w:firstLine="420"/>
      </w:pPr>
      <w:r>
        <w:fldChar w:fldCharType="end"/>
      </w:r>
      <w:bookmarkStart w:id="20" w:name="muci"/>
      <w:bookmarkEnd w:id="20"/>
    </w:p>
    <w:p>
      <w:pPr>
        <w:pStyle w:val="57"/>
        <w:ind w:firstLine="42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p>
    <w:bookmarkEnd w:id="19"/>
    <w:p>
      <w:pPr>
        <w:pStyle w:val="90"/>
        <w:spacing w:after="360"/>
      </w:pPr>
      <w:bookmarkStart w:id="21" w:name="_Toc135310693"/>
      <w:bookmarkStart w:id="22" w:name="BookMark2"/>
      <w:r>
        <w:rPr>
          <w:spacing w:val="320"/>
        </w:rPr>
        <w:t>前</w:t>
      </w:r>
      <w:r>
        <w:t>言</w:t>
      </w:r>
      <w:bookmarkEnd w:id="21"/>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本文件由中国铸造协会智能铸造工作委员会提出。</w:t>
      </w:r>
    </w:p>
    <w:p>
      <w:pPr>
        <w:pStyle w:val="57"/>
        <w:ind w:firstLine="420"/>
      </w:pPr>
      <w:r>
        <w:rPr>
          <w:rFonts w:hint="eastAsia"/>
        </w:rPr>
        <w:t>本文件由中国铸造协会归口。</w:t>
      </w:r>
    </w:p>
    <w:p>
      <w:pPr>
        <w:pStyle w:val="57"/>
        <w:ind w:firstLine="420"/>
      </w:pPr>
      <w:r>
        <w:rPr>
          <w:rFonts w:hint="eastAsia"/>
        </w:rPr>
        <w:t>本文件起草单位：共享智能铸造产业创新中心有限公司、×××。</w:t>
      </w:r>
    </w:p>
    <w:p>
      <w:pPr>
        <w:pStyle w:val="57"/>
        <w:ind w:firstLine="420"/>
      </w:pPr>
      <w:r>
        <w:rPr>
          <w:rFonts w:hint="eastAsia"/>
        </w:rPr>
        <w:t>本文件主要起草人：杨晓芬、罗超、邱建斌、胡阳、常涛、鲁云、。</w:t>
      </w:r>
    </w:p>
    <w:p>
      <w:pPr>
        <w:pStyle w:val="57"/>
        <w:ind w:firstLine="420"/>
        <w:rPr>
          <w:rFonts w:hint="default" w:eastAsia="宋体"/>
          <w:lang w:val="en-US" w:eastAsia="zh-CN"/>
        </w:rPr>
      </w:pPr>
      <w:r>
        <w:rPr>
          <w:rFonts w:hint="eastAsia"/>
          <w:lang w:val="en-US" w:eastAsia="zh-CN"/>
        </w:rPr>
        <w:t>本文件为首次发布。</w:t>
      </w:r>
    </w:p>
    <w:p>
      <w:pPr>
        <w:pStyle w:val="57"/>
        <w:ind w:firstLine="420"/>
      </w:pPr>
    </w:p>
    <w:p>
      <w:pPr>
        <w:pStyle w:val="57"/>
        <w:ind w:firstLine="420"/>
      </w:pP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linePitch="312" w:charSpace="0"/>
        </w:sectPr>
      </w:pPr>
    </w:p>
    <w:bookmarkEnd w:id="22"/>
    <w:p>
      <w:pPr>
        <w:pStyle w:val="90"/>
        <w:spacing w:after="360"/>
      </w:pPr>
      <w:bookmarkStart w:id="23" w:name="_Toc135310694"/>
      <w:bookmarkStart w:id="24" w:name="BookMark3"/>
      <w:r>
        <w:rPr>
          <w:spacing w:val="320"/>
        </w:rPr>
        <w:t>引</w:t>
      </w:r>
      <w:r>
        <w:t>言</w:t>
      </w:r>
      <w:bookmarkEnd w:id="23"/>
    </w:p>
    <w:p>
      <w:pPr>
        <w:pStyle w:val="57"/>
        <w:ind w:firstLine="420"/>
        <w:rPr>
          <w:rFonts w:hint="eastAsia"/>
        </w:rPr>
      </w:pPr>
      <w:bookmarkStart w:id="102" w:name="_GoBack"/>
      <w:bookmarkEnd w:id="102"/>
      <w:r>
        <w:rPr>
          <w:rFonts w:hint="eastAsia"/>
        </w:rPr>
        <w:t>铸造业的发展标志着一个国家的生产实力。但是传统铸造业存在着产能过剩、盈利水平低；产业上下游资源比较分散，产业链效率不高；企业信息化、网络化水平低，经营和生产管理效率差等问题。随着铸造行业技术的日趋成熟，铸造行业也出现了一批专业化的铸造行业服务平台</w:t>
      </w:r>
      <w:r>
        <w:rPr>
          <w:rFonts w:hint="eastAsia"/>
          <w:lang w:eastAsia="zh-CN"/>
        </w:rPr>
        <w:t>，</w:t>
      </w:r>
      <w:r>
        <w:rPr>
          <w:rFonts w:hint="eastAsia"/>
        </w:rPr>
        <w:t>但这些平台在功能、性能、服务质量等方面参差不齐，严重制约</w:t>
      </w:r>
      <w:r>
        <w:rPr>
          <w:rFonts w:hint="eastAsia"/>
          <w:lang w:val="en-US" w:eastAsia="zh-CN"/>
        </w:rPr>
        <w:t>着</w:t>
      </w:r>
      <w:r>
        <w:rPr>
          <w:rFonts w:hint="eastAsia"/>
        </w:rPr>
        <w:t>铸造技术的推广应用</w:t>
      </w:r>
      <w:r>
        <w:rPr>
          <w:rFonts w:hint="eastAsia"/>
          <w:lang w:eastAsia="zh-CN"/>
        </w:rPr>
        <w:t>。</w:t>
      </w:r>
      <w:r>
        <w:rPr>
          <w:rFonts w:hint="eastAsia"/>
        </w:rPr>
        <w:t>目前，铸造行业相关技术与标准的研究主要集中在一些关键技术，如材料、制造工艺、数据格式等方面，在铸造行业的服务与应用模式方面缺乏标准化。因此，</w:t>
      </w:r>
      <w:r>
        <w:rPr>
          <w:rFonts w:hint="eastAsia"/>
          <w:lang w:val="en-US" w:eastAsia="zh-CN"/>
        </w:rPr>
        <w:t>特制定本文件</w:t>
      </w:r>
      <w:r>
        <w:rPr>
          <w:rFonts w:hint="eastAsia"/>
        </w:rPr>
        <w:t>。</w:t>
      </w:r>
    </w:p>
    <w:p>
      <w:pPr>
        <w:pStyle w:val="57"/>
        <w:ind w:firstLine="420"/>
      </w:pPr>
      <w:r>
        <w:rPr>
          <w:rFonts w:hint="eastAsia"/>
        </w:rPr>
        <w:t>通过</w:t>
      </w:r>
      <w:r>
        <w:rPr>
          <w:rFonts w:hint="eastAsia"/>
          <w:lang w:val="en-US" w:eastAsia="zh-CN"/>
        </w:rPr>
        <w:t>本文件</w:t>
      </w:r>
      <w:r>
        <w:rPr>
          <w:rFonts w:hint="eastAsia"/>
        </w:rPr>
        <w:t>的规范，建立起铸造行业云服务平台，通过平台在工业互联网云端上构建起一个新的产业业态，实现资源的共享、能力协同和利益共赢</w:t>
      </w:r>
      <w:r>
        <w:rPr>
          <w:rFonts w:hint="eastAsia"/>
          <w:lang w:eastAsia="zh-CN"/>
        </w:rPr>
        <w:t>；</w:t>
      </w:r>
      <w:r>
        <w:rPr>
          <w:rFonts w:hint="eastAsia"/>
        </w:rPr>
        <w:t>以绿色智能制造为核心，通过模式创新推动国内产业资源能力的横向整合和纵向整合，能够提升企业制造能力、产品的科技含量，适应消费的特征需求，满足中小企业数字化、信息化的转型升级，帮助铸造企业快速提高两化融合水平，推动铸造行业绿色智能和高质量发展。</w:t>
      </w:r>
    </w:p>
    <w:p>
      <w:pPr>
        <w:pStyle w:val="57"/>
        <w:ind w:firstLine="420"/>
      </w:pPr>
    </w:p>
    <w:p>
      <w:pPr>
        <w:pStyle w:val="57"/>
        <w:ind w:firstLine="420"/>
        <w:sectPr>
          <w:headerReference r:id="rId17" w:type="default"/>
          <w:footerReference r:id="rId19" w:type="default"/>
          <w:headerReference r:id="rId18" w:type="even"/>
          <w:footerReference r:id="rId20" w:type="even"/>
          <w:pgSz w:w="11906" w:h="16838"/>
          <w:pgMar w:top="2410" w:right="1134" w:bottom="1134" w:left="1134" w:header="1418" w:footer="1134" w:gutter="284"/>
          <w:pgNumType w:fmt="upperRoman"/>
          <w:cols w:space="425" w:num="1"/>
          <w:formProt w:val="0"/>
          <w:docGrid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FE6AF9988B424574BECC40D890C283F5"/>
        </w:placeholder>
      </w:sdtPr>
      <w:sdtContent>
        <w:p>
          <w:pPr>
            <w:pStyle w:val="178"/>
            <w:spacing w:before="2" w:beforeLines="1" w:after="528" w:afterLines="220"/>
          </w:pPr>
          <w:bookmarkStart w:id="26" w:name="NEW_STAND_NAME"/>
          <w:r>
            <w:rPr>
              <w:rFonts w:hint="eastAsia"/>
            </w:rPr>
            <w:t>铸造行业云服务平台建设与应用指南</w:t>
          </w:r>
        </w:p>
      </w:sdtContent>
    </w:sdt>
    <w:bookmarkEnd w:id="26"/>
    <w:p>
      <w:pPr>
        <w:pStyle w:val="105"/>
        <w:spacing w:before="240" w:after="240"/>
      </w:pPr>
      <w:bookmarkStart w:id="27" w:name="_Toc26718930"/>
      <w:bookmarkStart w:id="28" w:name="_Toc26986771"/>
      <w:bookmarkStart w:id="29" w:name="_Toc135310695"/>
      <w:bookmarkStart w:id="30" w:name="_Toc17233325"/>
      <w:bookmarkStart w:id="31" w:name="_Toc24884211"/>
      <w:bookmarkStart w:id="32" w:name="_Toc26648465"/>
      <w:bookmarkStart w:id="33" w:name="_Toc17233333"/>
      <w:bookmarkStart w:id="34" w:name="_Toc26986530"/>
      <w:bookmarkStart w:id="35" w:name="_Toc101961676"/>
      <w:bookmarkStart w:id="36" w:name="_Toc24884218"/>
      <w:r>
        <w:rPr>
          <w:rFonts w:hint="eastAsia"/>
        </w:rPr>
        <w:t>范围</w:t>
      </w:r>
      <w:bookmarkEnd w:id="27"/>
      <w:bookmarkEnd w:id="28"/>
      <w:bookmarkEnd w:id="29"/>
      <w:bookmarkEnd w:id="30"/>
      <w:bookmarkEnd w:id="31"/>
      <w:bookmarkEnd w:id="32"/>
      <w:bookmarkEnd w:id="33"/>
      <w:bookmarkEnd w:id="34"/>
      <w:bookmarkEnd w:id="35"/>
      <w:bookmarkEnd w:id="36"/>
    </w:p>
    <w:p>
      <w:pPr>
        <w:pStyle w:val="57"/>
        <w:ind w:firstLine="420"/>
      </w:pPr>
      <w:bookmarkStart w:id="37" w:name="_Toc26648466"/>
      <w:bookmarkStart w:id="38" w:name="_Toc17233326"/>
      <w:bookmarkStart w:id="39" w:name="_Toc17233334"/>
      <w:bookmarkStart w:id="40" w:name="_Toc24884212"/>
      <w:bookmarkStart w:id="41" w:name="_Toc24884219"/>
      <w:r>
        <w:rPr>
          <w:rFonts w:hint="eastAsia"/>
        </w:rPr>
        <w:t>本文件</w:t>
      </w:r>
      <w:r>
        <w:rPr>
          <w:rFonts w:hint="eastAsia"/>
          <w:lang w:val="en-US" w:eastAsia="zh-CN"/>
        </w:rPr>
        <w:t>提供</w:t>
      </w:r>
      <w:r>
        <w:rPr>
          <w:rFonts w:hint="eastAsia"/>
        </w:rPr>
        <w:t>了铸造行业云服务平台建设原则</w:t>
      </w:r>
      <w:r>
        <w:rPr>
          <w:rFonts w:hint="eastAsia"/>
          <w:lang w:val="en-US" w:eastAsia="zh-CN"/>
        </w:rPr>
        <w:t>的建议，给出了</w:t>
      </w:r>
      <w:r>
        <w:rPr>
          <w:rFonts w:hint="eastAsia"/>
        </w:rPr>
        <w:t>业务架构、应用架构及技术架构</w:t>
      </w:r>
      <w:r>
        <w:rPr>
          <w:rFonts w:hint="eastAsia"/>
          <w:lang w:val="en-US" w:eastAsia="zh-CN"/>
        </w:rPr>
        <w:t>的的信息</w:t>
      </w:r>
      <w:r>
        <w:rPr>
          <w:rFonts w:hint="eastAsia"/>
        </w:rPr>
        <w:t>。</w:t>
      </w:r>
    </w:p>
    <w:p>
      <w:pPr>
        <w:pStyle w:val="57"/>
        <w:ind w:firstLine="420"/>
      </w:pPr>
      <w:r>
        <w:rPr>
          <w:rFonts w:hint="eastAsia"/>
        </w:rPr>
        <w:t>本文件适用于指导铸造行业云服务平台的设计、研发、实施、管理与改造。</w:t>
      </w:r>
    </w:p>
    <w:p>
      <w:pPr>
        <w:pStyle w:val="105"/>
        <w:spacing w:before="240" w:after="240"/>
      </w:pPr>
      <w:bookmarkStart w:id="42" w:name="_Toc26986531"/>
      <w:bookmarkStart w:id="43" w:name="_Toc26718931"/>
      <w:bookmarkStart w:id="44" w:name="_Toc135310696"/>
      <w:bookmarkStart w:id="45" w:name="_Toc101961677"/>
      <w:bookmarkStart w:id="46" w:name="_Toc2698677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0EC078EDBDCE42F5B7581585807708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GB/T 5611  铸造</w:t>
      </w:r>
      <w:r>
        <w:t>术语</w:t>
      </w:r>
    </w:p>
    <w:p>
      <w:pPr>
        <w:pStyle w:val="57"/>
        <w:ind w:firstLine="420"/>
      </w:pPr>
      <w:r>
        <w:rPr>
          <w:rFonts w:hint="eastAsia"/>
        </w:rPr>
        <w:t>GB/T 32400  信息技术 云计算 概览与词汇</w:t>
      </w:r>
    </w:p>
    <w:p>
      <w:pPr>
        <w:pStyle w:val="57"/>
        <w:ind w:firstLine="420"/>
        <w:rPr>
          <w:kern w:val="2"/>
        </w:rPr>
      </w:pPr>
      <w:r>
        <w:rPr>
          <w:rFonts w:hint="eastAsia"/>
          <w:kern w:val="2"/>
        </w:rPr>
        <w:t>GB/T 39403  云制造服务平台安全防护管理要求</w:t>
      </w:r>
    </w:p>
    <w:p>
      <w:pPr>
        <w:pStyle w:val="105"/>
        <w:spacing w:before="240" w:after="240"/>
      </w:pPr>
      <w:bookmarkStart w:id="47" w:name="_Toc101961678"/>
      <w:bookmarkStart w:id="48" w:name="_Toc135310697"/>
      <w:r>
        <w:rPr>
          <w:rFonts w:hint="eastAsia"/>
        </w:rPr>
        <w:t>术语、定义</w:t>
      </w:r>
      <w:bookmarkEnd w:id="47"/>
      <w:r>
        <w:rPr>
          <w:rFonts w:hint="eastAsia"/>
        </w:rPr>
        <w:t>和缩略语</w:t>
      </w:r>
      <w:bookmarkEnd w:id="48"/>
    </w:p>
    <w:p>
      <w:pPr>
        <w:pStyle w:val="106"/>
        <w:spacing w:before="120" w:after="120"/>
      </w:pPr>
      <w:bookmarkStart w:id="49" w:name="_Toc135310698"/>
      <w:r>
        <w:rPr>
          <w:rFonts w:hint="eastAsia"/>
        </w:rPr>
        <w:t>术语和定义</w:t>
      </w:r>
      <w:bookmarkEnd w:id="49"/>
    </w:p>
    <w:sdt>
      <w:sdtPr>
        <w:rPr>
          <w:rFonts w:hint="eastAsia"/>
        </w:rPr>
        <w:id w:val="-1909835108"/>
        <w:placeholder>
          <w:docPart w:val="9CB15896D6ED493995F33BCA867487A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7"/>
            <w:ind w:firstLine="420"/>
          </w:pPr>
          <w:bookmarkStart w:id="50" w:name="_Toc26986532"/>
          <w:bookmarkEnd w:id="50"/>
          <w:r>
            <w:rPr>
              <w:rFonts w:hint="eastAsia"/>
            </w:rPr>
            <w:t>GB/T 5611、GB/T 32400界定的以及下列术语和定义适用于本文件。</w:t>
          </w:r>
        </w:p>
      </w:sdtContent>
    </w:sdt>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云服务平台 </w:t>
      </w:r>
      <w:r>
        <w:rPr>
          <w:rFonts w:ascii="Times New Roman" w:eastAsia="黑体"/>
        </w:rPr>
        <w:t>cloud service platform</w:t>
      </w:r>
    </w:p>
    <w:p>
      <w:pPr>
        <w:pStyle w:val="57"/>
        <w:ind w:firstLine="420"/>
      </w:pPr>
      <w:r>
        <w:rPr>
          <w:rFonts w:hint="eastAsia"/>
        </w:rPr>
        <w:t>由云服务商提供的,包括向客户提供服务的云基础设施及其上的服务层软件。</w:t>
      </w:r>
    </w:p>
    <w:p>
      <w:pPr>
        <w:pStyle w:val="180"/>
      </w:pPr>
      <w:r>
        <w:rPr>
          <w:rFonts w:hint="eastAsia"/>
        </w:rPr>
        <w:t>提供云服务的软硬件集合。</w:t>
      </w:r>
    </w:p>
    <w:p>
      <w:pPr>
        <w:pStyle w:val="57"/>
        <w:ind w:firstLine="420"/>
      </w:pPr>
      <w:r>
        <w:rPr>
          <w:rFonts w:hint="eastAsia"/>
        </w:rPr>
        <w:t>[来源：GB/T 40210-2021，3.2]</w:t>
      </w:r>
    </w:p>
    <w:p>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铸造行业云服务平台业务架构 </w:t>
      </w:r>
      <w:r>
        <w:rPr>
          <w:rFonts w:ascii="Times New Roman" w:eastAsia="黑体"/>
        </w:rPr>
        <w:t xml:space="preserve">business structure for foundry </w:t>
      </w:r>
      <w:r>
        <w:rPr>
          <w:rFonts w:hint="eastAsia" w:ascii="Times New Roman" w:eastAsia="黑体"/>
        </w:rPr>
        <w:t>industry</w:t>
      </w:r>
      <w:r>
        <w:rPr>
          <w:rFonts w:ascii="Times New Roman" w:eastAsia="黑体"/>
        </w:rPr>
        <w:t xml:space="preserve"> cloud service platform</w:t>
      </w:r>
    </w:p>
    <w:p>
      <w:pPr>
        <w:pStyle w:val="57"/>
        <w:ind w:firstLine="420"/>
      </w:pPr>
      <w:r>
        <w:rPr>
          <w:rFonts w:hint="eastAsia"/>
        </w:rPr>
        <w:t>铸造行业云服务平台（3</w:t>
      </w:r>
      <w:r>
        <w:t>.1.1</w:t>
      </w:r>
      <w:r>
        <w:rPr>
          <w:rFonts w:hint="eastAsia"/>
        </w:rPr>
        <w:t>）业务需求的逻辑视图。</w:t>
      </w:r>
    </w:p>
    <w:p>
      <w:pPr>
        <w:pStyle w:val="106"/>
        <w:spacing w:before="120" w:after="120"/>
      </w:pPr>
      <w:bookmarkStart w:id="51" w:name="_Toc135310699"/>
      <w:r>
        <w:rPr>
          <w:rFonts w:hint="eastAsia"/>
        </w:rPr>
        <w:t>缩略语</w:t>
      </w:r>
      <w:bookmarkEnd w:id="51"/>
    </w:p>
    <w:p>
      <w:pPr>
        <w:pStyle w:val="57"/>
        <w:ind w:firstLine="420"/>
      </w:pPr>
      <w:r>
        <w:rPr>
          <w:rFonts w:hint="eastAsia"/>
        </w:rPr>
        <w:t>下列缩略语适用于本文件。</w:t>
      </w:r>
    </w:p>
    <w:p>
      <w:pPr>
        <w:pStyle w:val="57"/>
        <w:ind w:firstLine="420"/>
      </w:pPr>
      <w:r>
        <w:rPr>
          <w:rFonts w:ascii="Times New Roman"/>
        </w:rPr>
        <w:t>QoS:</w:t>
      </w:r>
      <w:r>
        <w:rPr>
          <w:rFonts w:hint="eastAsia"/>
        </w:rPr>
        <w:t>服务质量</w:t>
      </w:r>
      <w:r>
        <w:rPr>
          <w:rFonts w:ascii="Times New Roman"/>
        </w:rPr>
        <w:t>（</w:t>
      </w:r>
      <w:r>
        <w:rPr>
          <w:rStyle w:val="30"/>
          <w:rFonts w:ascii="Times New Roman"/>
          <w:b w:val="0"/>
          <w:bCs w:val="0"/>
          <w:color w:val="111111"/>
          <w:shd w:val="clear" w:color="auto" w:fill="FFFFFF"/>
        </w:rPr>
        <w:t>Quality of Service</w:t>
      </w:r>
      <w:r>
        <w:rPr>
          <w:rFonts w:ascii="Times New Roman"/>
        </w:rPr>
        <w:t>）</w:t>
      </w:r>
    </w:p>
    <w:p>
      <w:pPr>
        <w:pStyle w:val="57"/>
        <w:ind w:firstLine="420"/>
        <w:rPr>
          <w:rFonts w:ascii="Times New Roman"/>
        </w:rPr>
      </w:pPr>
      <w:bookmarkStart w:id="52" w:name="_Hlk135143318"/>
      <w:r>
        <w:rPr>
          <w:rFonts w:ascii="Times New Roman"/>
        </w:rPr>
        <w:t>SQL:</w:t>
      </w:r>
      <w:bookmarkEnd w:id="52"/>
      <w:r>
        <w:rPr>
          <w:rFonts w:hint="eastAsia" w:ascii="Times New Roman"/>
        </w:rPr>
        <w:t>结构化查询语言</w:t>
      </w:r>
      <w:r>
        <w:rPr>
          <w:rFonts w:ascii="Times New Roman"/>
        </w:rPr>
        <w:t>(</w:t>
      </w:r>
      <w:r>
        <w:rPr>
          <w:rFonts w:ascii="Times New Roman"/>
          <w:color w:val="333333"/>
          <w:szCs w:val="21"/>
          <w:shd w:val="clear" w:color="auto" w:fill="FFFFFF"/>
        </w:rPr>
        <w:t xml:space="preserve"> Structured Query Language)</w:t>
      </w:r>
    </w:p>
    <w:p>
      <w:pPr>
        <w:pStyle w:val="57"/>
        <w:ind w:firstLine="420"/>
        <w:rPr>
          <w:rFonts w:ascii="Times New Roman"/>
        </w:rPr>
      </w:pPr>
      <w:r>
        <w:rPr>
          <w:rFonts w:hint="eastAsia" w:ascii="Times New Roman"/>
        </w:rPr>
        <w:t>A</w:t>
      </w:r>
      <w:r>
        <w:rPr>
          <w:rFonts w:ascii="Times New Roman"/>
        </w:rPr>
        <w:t>PI:</w:t>
      </w:r>
      <w:r>
        <w:rPr>
          <w:rFonts w:hint="eastAsia" w:hAnsi="宋体"/>
        </w:rPr>
        <w:t>应用程序编程接口</w:t>
      </w:r>
      <w:r>
        <w:rPr>
          <w:rFonts w:hint="eastAsia" w:ascii="Times New Roman"/>
        </w:rPr>
        <w:t>(Application Programming Interface)</w:t>
      </w:r>
    </w:p>
    <w:p>
      <w:pPr>
        <w:pStyle w:val="105"/>
        <w:spacing w:before="240" w:after="240"/>
      </w:pPr>
      <w:bookmarkStart w:id="53" w:name="_Toc135310700"/>
      <w:r>
        <w:rPr>
          <w:rFonts w:hint="eastAsia"/>
          <w:lang w:val="en-US" w:eastAsia="zh-CN"/>
        </w:rPr>
        <w:t>总体</w:t>
      </w:r>
      <w:r>
        <w:rPr>
          <w:rFonts w:hint="eastAsia"/>
        </w:rPr>
        <w:t>原则</w:t>
      </w:r>
      <w:bookmarkEnd w:id="53"/>
    </w:p>
    <w:p>
      <w:pPr>
        <w:pStyle w:val="106"/>
        <w:spacing w:before="120" w:after="120"/>
      </w:pPr>
      <w:bookmarkStart w:id="54" w:name="_Toc135310701"/>
      <w:r>
        <w:rPr>
          <w:rFonts w:hint="eastAsia"/>
        </w:rPr>
        <w:t>可扩展性原则</w:t>
      </w:r>
      <w:bookmarkEnd w:id="54"/>
    </w:p>
    <w:p>
      <w:pPr>
        <w:pStyle w:val="57"/>
        <w:ind w:firstLine="420"/>
      </w:pPr>
      <w:r>
        <w:rPr>
          <w:rFonts w:hint="eastAsia"/>
        </w:rPr>
        <w:t>铸造行业云服务平台</w:t>
      </w:r>
      <w:r>
        <w:rPr>
          <w:rFonts w:hint="eastAsia"/>
          <w:lang w:val="en-US" w:eastAsia="zh-CN"/>
        </w:rPr>
        <w:t>宜</w:t>
      </w:r>
      <w:r>
        <w:t>采用松耦合、模块化的平台设计思路</w:t>
      </w:r>
      <w:r>
        <w:rPr>
          <w:rFonts w:hint="eastAsia"/>
        </w:rPr>
        <w:t>，</w:t>
      </w:r>
      <w:r>
        <w:t>为各功能模块提供灵活、</w:t>
      </w:r>
      <w:r>
        <w:rPr>
          <w:rFonts w:hint="eastAsia"/>
        </w:rPr>
        <w:t>安</w:t>
      </w:r>
      <w:r>
        <w:t>全、稳定的接口服务</w:t>
      </w:r>
      <w:r>
        <w:rPr>
          <w:rFonts w:hint="eastAsia"/>
        </w:rPr>
        <w:t>，</w:t>
      </w:r>
      <w:r>
        <w:t>保证平台的模块较易扩展</w:t>
      </w:r>
      <w:r>
        <w:rPr>
          <w:rFonts w:hint="eastAsia"/>
        </w:rPr>
        <w:t>，</w:t>
      </w:r>
      <w:r>
        <w:t>易于平台升级。在平台建设过程中可根据不同用户的需求和新出现的业务类型进行功能模块的扩展</w:t>
      </w:r>
      <w:r>
        <w:rPr>
          <w:rFonts w:hint="eastAsia"/>
        </w:rPr>
        <w:t>。</w:t>
      </w:r>
    </w:p>
    <w:p>
      <w:pPr>
        <w:pStyle w:val="106"/>
        <w:spacing w:before="120" w:after="120"/>
      </w:pPr>
      <w:bookmarkStart w:id="55" w:name="_Toc135310702"/>
      <w:r>
        <w:rPr>
          <w:rFonts w:hint="eastAsia"/>
        </w:rPr>
        <w:t>易用性原则</w:t>
      </w:r>
      <w:bookmarkEnd w:id="55"/>
    </w:p>
    <w:p>
      <w:pPr>
        <w:pStyle w:val="57"/>
        <w:ind w:firstLine="420"/>
      </w:pPr>
      <w:r>
        <w:rPr>
          <w:rFonts w:hint="eastAsia"/>
        </w:rPr>
        <w:t>铸造行业云服务平台</w:t>
      </w:r>
      <w:r>
        <w:t>建设</w:t>
      </w:r>
      <w:r>
        <w:rPr>
          <w:rFonts w:hint="eastAsia"/>
          <w:lang w:val="en-US" w:eastAsia="zh-CN"/>
        </w:rPr>
        <w:t>宜</w:t>
      </w:r>
      <w:r>
        <w:t>考虑行业特点</w:t>
      </w:r>
      <w:r>
        <w:rPr>
          <w:rFonts w:hint="eastAsia"/>
        </w:rPr>
        <w:t>，尊重</w:t>
      </w:r>
      <w:r>
        <w:t>用户的操作习惯</w:t>
      </w:r>
      <w:r>
        <w:rPr>
          <w:rFonts w:hint="eastAsia"/>
        </w:rPr>
        <w:t>。</w:t>
      </w:r>
    </w:p>
    <w:p>
      <w:pPr>
        <w:pStyle w:val="106"/>
        <w:spacing w:before="120" w:after="120"/>
      </w:pPr>
      <w:bookmarkStart w:id="56" w:name="_Toc135310703"/>
      <w:r>
        <w:rPr>
          <w:rFonts w:hint="eastAsia"/>
        </w:rPr>
        <w:t>安全性原则</w:t>
      </w:r>
      <w:bookmarkEnd w:id="56"/>
    </w:p>
    <w:p>
      <w:pPr>
        <w:pStyle w:val="57"/>
        <w:ind w:firstLine="420"/>
      </w:pPr>
      <w:r>
        <w:rPr>
          <w:rFonts w:hint="eastAsia"/>
        </w:rPr>
        <w:t>铸造行业云服务平台</w:t>
      </w:r>
      <w:r>
        <w:t>的建设和管理</w:t>
      </w:r>
      <w:r>
        <w:rPr>
          <w:rFonts w:hint="eastAsia"/>
          <w:lang w:val="en-US" w:eastAsia="zh-CN"/>
        </w:rPr>
        <w:t>宜</w:t>
      </w:r>
      <w:r>
        <w:t>具备完善的逻辑严密的安全管理机制</w:t>
      </w:r>
      <w:r>
        <w:rPr>
          <w:rFonts w:hint="eastAsia"/>
        </w:rPr>
        <w:t>，恰当采用身份认证、权限控制、日志监控等各种安全技术手段，</w:t>
      </w:r>
      <w:r>
        <w:t>加强对</w:t>
      </w:r>
      <w:r>
        <w:rPr>
          <w:rFonts w:hint="eastAsia"/>
        </w:rPr>
        <w:t>交易过程和</w:t>
      </w:r>
      <w:r>
        <w:t>敏感数据的管控</w:t>
      </w:r>
      <w:r>
        <w:rPr>
          <w:rFonts w:hint="eastAsia"/>
        </w:rPr>
        <w:t>，</w:t>
      </w:r>
      <w:r>
        <w:t>在保障可用性的基础上为业务数据提供</w:t>
      </w:r>
      <w:r>
        <w:rPr>
          <w:rFonts w:hint="eastAsia"/>
        </w:rPr>
        <w:t>安全</w:t>
      </w:r>
      <w:r>
        <w:t>保护。</w:t>
      </w:r>
    </w:p>
    <w:p>
      <w:pPr>
        <w:pStyle w:val="106"/>
        <w:spacing w:before="120" w:after="120"/>
      </w:pPr>
      <w:bookmarkStart w:id="57" w:name="_Toc135310704"/>
      <w:r>
        <w:rPr>
          <w:rFonts w:hint="eastAsia"/>
        </w:rPr>
        <w:t>可靠性原则</w:t>
      </w:r>
      <w:bookmarkEnd w:id="57"/>
    </w:p>
    <w:p>
      <w:pPr>
        <w:pStyle w:val="57"/>
        <w:ind w:firstLine="420"/>
      </w:pPr>
      <w:r>
        <w:rPr>
          <w:rFonts w:hint="eastAsia"/>
        </w:rPr>
        <w:t>铸造行业云服务平台</w:t>
      </w:r>
      <w:r>
        <w:t>建设</w:t>
      </w:r>
      <w:r>
        <w:rPr>
          <w:rFonts w:hint="eastAsia"/>
        </w:rPr>
        <w:t>时</w:t>
      </w:r>
      <w:r>
        <w:rPr>
          <w:rFonts w:hint="eastAsia"/>
          <w:lang w:val="en-US" w:eastAsia="zh-CN"/>
        </w:rPr>
        <w:t>宜</w:t>
      </w:r>
      <w:r>
        <w:rPr>
          <w:rFonts w:hint="eastAsia"/>
        </w:rPr>
        <w:t>考虑到针对各个功能模块以及接口的可监控机制，便于及时发现运行错误并排除故障，</w:t>
      </w:r>
      <w:r>
        <w:t>在平台运行方面保证系统</w:t>
      </w:r>
      <w:r>
        <w:rPr>
          <w:rFonts w:hint="eastAsia"/>
        </w:rPr>
        <w:t>无</w:t>
      </w:r>
      <w:r>
        <w:t>故障,确保运行稳定。</w:t>
      </w:r>
    </w:p>
    <w:p>
      <w:pPr>
        <w:pStyle w:val="105"/>
        <w:spacing w:before="240" w:after="240"/>
        <w:rPr>
          <w:kern w:val="2"/>
        </w:rPr>
      </w:pPr>
      <w:bookmarkStart w:id="58" w:name="_Toc135310705"/>
      <w:bookmarkStart w:id="59" w:name="_Toc17953"/>
      <w:r>
        <w:rPr>
          <w:rFonts w:hint="eastAsia"/>
        </w:rPr>
        <w:t>铸造行业云服务平台业务架构</w:t>
      </w:r>
      <w:bookmarkEnd w:id="58"/>
      <w:bookmarkEnd w:id="59"/>
    </w:p>
    <w:p>
      <w:pPr>
        <w:pStyle w:val="106"/>
        <w:spacing w:before="120" w:after="120"/>
      </w:pPr>
      <w:bookmarkStart w:id="60" w:name="_Toc25005"/>
      <w:bookmarkStart w:id="61" w:name="_Toc135310706"/>
      <w:r>
        <w:rPr>
          <w:rFonts w:hint="eastAsia"/>
        </w:rPr>
        <w:t>铸造行业云服务平台业务范围</w:t>
      </w:r>
      <w:bookmarkEnd w:id="60"/>
      <w:bookmarkEnd w:id="61"/>
    </w:p>
    <w:p>
      <w:pPr>
        <w:pStyle w:val="166"/>
      </w:pPr>
      <w:r>
        <w:rPr>
          <w:rFonts w:hint="eastAsia"/>
        </w:rPr>
        <w:t>铸造行业云服务平台主要面向三类用户提供专业化服务。三类用户包括：</w:t>
      </w:r>
    </w:p>
    <w:p>
      <w:pPr>
        <w:pStyle w:val="175"/>
      </w:pPr>
      <w:r>
        <w:rPr>
          <w:rFonts w:hint="eastAsia"/>
        </w:rPr>
        <w:t>铸造行业服务提供者：能够提供铸造行业服务的用户，并且将铸造服务注册在铸造云服务平台为其他用户提供有偿的铸造服务。铸造服务提供者可以是个人、企业；</w:t>
      </w:r>
    </w:p>
    <w:p>
      <w:pPr>
        <w:pStyle w:val="175"/>
      </w:pPr>
      <w:r>
        <w:rPr>
          <w:rFonts w:hint="eastAsia"/>
        </w:rPr>
        <w:t>铸造服务需求者：对铸造服务具有使用需求的用户；</w:t>
      </w:r>
    </w:p>
    <w:p>
      <w:pPr>
        <w:pStyle w:val="175"/>
      </w:pPr>
      <w:r>
        <w:rPr>
          <w:rFonts w:hint="eastAsia"/>
        </w:rPr>
        <w:t>铸造服务平台管理者：负责铸造云服务平台的运行与维护。</w:t>
      </w:r>
    </w:p>
    <w:p>
      <w:pPr>
        <w:pStyle w:val="166"/>
      </w:pPr>
      <w:r>
        <w:rPr>
          <w:rFonts w:hint="eastAsia"/>
        </w:rPr>
        <w:t>铸造行业云服务平台的业务主要包括铸造行业软件租赁服务、铸造行业产品交易服务、铸造行业供需对接服务、铸造行业数据应用服务、铸造行业培训服务、平台管理服务。</w:t>
      </w:r>
    </w:p>
    <w:p>
      <w:pPr>
        <w:pStyle w:val="106"/>
        <w:spacing w:before="120" w:after="120"/>
      </w:pPr>
      <w:bookmarkStart w:id="62" w:name="_Toc27615"/>
      <w:bookmarkStart w:id="63" w:name="_Toc135310707"/>
      <w:r>
        <w:rPr>
          <w:rFonts w:hint="eastAsia"/>
        </w:rPr>
        <w:t>平台核心业务服务</w:t>
      </w:r>
      <w:bookmarkEnd w:id="62"/>
      <w:bookmarkEnd w:id="63"/>
    </w:p>
    <w:p>
      <w:pPr>
        <w:pStyle w:val="66"/>
        <w:spacing w:before="120" w:after="120"/>
      </w:pPr>
      <w:bookmarkStart w:id="64" w:name="_Toc135310708"/>
      <w:bookmarkStart w:id="65" w:name="_Toc23967"/>
      <w:bookmarkStart w:id="66" w:name="_Toc10430"/>
      <w:r>
        <w:rPr>
          <w:rFonts w:hint="eastAsia"/>
        </w:rPr>
        <w:t>铸造行业软件租赁服务</w:t>
      </w:r>
      <w:bookmarkEnd w:id="64"/>
      <w:bookmarkEnd w:id="65"/>
      <w:bookmarkEnd w:id="66"/>
    </w:p>
    <w:p>
      <w:pPr>
        <w:pStyle w:val="57"/>
        <w:ind w:firstLine="420"/>
      </w:pPr>
      <w:r>
        <w:rPr>
          <w:rFonts w:hint="eastAsia"/>
        </w:rPr>
        <w:t>铸造行业软件租赁服务主要包括软件发布、软件试用、软件订单管理、软件交易与评价几方面服务。铸造行业软件租赁服务业务流程如下，如图1所示。</w:t>
      </w:r>
    </w:p>
    <w:p>
      <w:pPr>
        <w:pStyle w:val="175"/>
        <w:numPr>
          <w:ilvl w:val="0"/>
          <w:numId w:val="32"/>
        </w:numPr>
      </w:pPr>
      <w:r>
        <w:rPr>
          <w:rFonts w:hint="eastAsia"/>
        </w:rPr>
        <w:t>平台管理员在管理后台填写软件相关信息，发布软件。</w:t>
      </w:r>
    </w:p>
    <w:p>
      <w:pPr>
        <w:pStyle w:val="175"/>
      </w:pPr>
      <w:r>
        <w:rPr>
          <w:rFonts w:hint="eastAsia"/>
        </w:rPr>
        <w:t>用户在前端页面浏览软件，选择所需软件试用或购买。</w:t>
      </w:r>
    </w:p>
    <w:p>
      <w:pPr>
        <w:pStyle w:val="175"/>
      </w:pPr>
      <w:r>
        <w:rPr>
          <w:rFonts w:hint="eastAsia"/>
        </w:rPr>
        <w:t>平台管理员确认订单，软件开通应用。</w:t>
      </w:r>
    </w:p>
    <w:p>
      <w:pPr>
        <w:autoSpaceDE w:val="0"/>
        <w:spacing w:line="360" w:lineRule="auto"/>
        <w:ind w:right="90"/>
        <w:jc w:val="center"/>
        <w:rPr>
          <w:rFonts w:ascii="宋体" w:hAnsi="宋体"/>
          <w:sz w:val="24"/>
          <w:szCs w:val="24"/>
        </w:rPr>
      </w:pPr>
      <w:r>
        <w:drawing>
          <wp:inline distT="0" distB="0" distL="114300" distR="114300">
            <wp:extent cx="1784350" cy="3338195"/>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rcRect t="1558" b="2610"/>
                    <a:stretch>
                      <a:fillRect/>
                    </a:stretch>
                  </pic:blipFill>
                  <pic:spPr>
                    <a:xfrm>
                      <a:off x="0" y="0"/>
                      <a:ext cx="1801759" cy="3371080"/>
                    </a:xfrm>
                    <a:prstGeom prst="rect">
                      <a:avLst/>
                    </a:prstGeom>
                    <a:noFill/>
                    <a:ln>
                      <a:noFill/>
                    </a:ln>
                  </pic:spPr>
                </pic:pic>
              </a:graphicData>
            </a:graphic>
          </wp:inline>
        </w:drawing>
      </w:r>
    </w:p>
    <w:p>
      <w:pPr>
        <w:pStyle w:val="115"/>
        <w:spacing w:before="120" w:after="120"/>
      </w:pPr>
      <w:r>
        <w:rPr>
          <w:rFonts w:hint="eastAsia"/>
        </w:rPr>
        <w:t>铸造行业软件租赁服务流程图</w:t>
      </w:r>
    </w:p>
    <w:p>
      <w:pPr>
        <w:pStyle w:val="66"/>
        <w:spacing w:before="120" w:after="120"/>
      </w:pPr>
      <w:bookmarkStart w:id="67" w:name="_Toc135310709"/>
      <w:bookmarkStart w:id="68" w:name="_Toc4510"/>
      <w:bookmarkStart w:id="69" w:name="_Toc18930"/>
      <w:r>
        <w:rPr>
          <w:rFonts w:hint="eastAsia"/>
        </w:rPr>
        <w:t>铸造行业产品交易服务</w:t>
      </w:r>
      <w:bookmarkEnd w:id="67"/>
      <w:bookmarkEnd w:id="68"/>
      <w:bookmarkEnd w:id="69"/>
    </w:p>
    <w:p>
      <w:pPr>
        <w:pStyle w:val="57"/>
        <w:ind w:firstLine="420"/>
      </w:pPr>
      <w:r>
        <w:rPr>
          <w:rFonts w:hint="eastAsia"/>
        </w:rPr>
        <w:t>铸造行业产品交易服务主要包括商家入驻、产品发布、产品订单管理、产品交易与评价几方面服务。铸造行业产品交易服务流程如下，如图2所示。</w:t>
      </w:r>
    </w:p>
    <w:p>
      <w:pPr>
        <w:pStyle w:val="175"/>
        <w:numPr>
          <w:ilvl w:val="0"/>
          <w:numId w:val="33"/>
        </w:numPr>
      </w:pPr>
      <w:r>
        <w:rPr>
          <w:rFonts w:hint="eastAsia"/>
        </w:rPr>
        <w:t>商家注册登录、申请入驻，平台审核通过后开店成功。</w:t>
      </w:r>
    </w:p>
    <w:p>
      <w:pPr>
        <w:pStyle w:val="175"/>
      </w:pPr>
      <w:r>
        <w:rPr>
          <w:rFonts w:hint="eastAsia"/>
        </w:rPr>
        <w:t>商家上传铸造行业产品照片，填写型号、颜色、库存数量、产品性能、质量等产品属性，在线生成产品信息。</w:t>
      </w:r>
    </w:p>
    <w:p>
      <w:pPr>
        <w:pStyle w:val="175"/>
      </w:pPr>
      <w:r>
        <w:rPr>
          <w:rFonts w:hint="eastAsia"/>
        </w:rPr>
        <w:t>平台接收到商家发布的产品信息，进行审核，审核通过后发布到平台前端展示。</w:t>
      </w:r>
    </w:p>
    <w:p>
      <w:pPr>
        <w:pStyle w:val="175"/>
      </w:pPr>
      <w:r>
        <w:rPr>
          <w:rFonts w:hint="eastAsia"/>
        </w:rPr>
        <w:t>用户浏览产品，选择所需产品提交订单，付款成功后，生成有效订单。</w:t>
      </w:r>
    </w:p>
    <w:p>
      <w:pPr>
        <w:pStyle w:val="175"/>
      </w:pPr>
      <w:r>
        <w:rPr>
          <w:rFonts w:hint="eastAsia"/>
        </w:rPr>
        <w:t>商家接收确认订单信息，并向用户发货。</w:t>
      </w:r>
    </w:p>
    <w:p>
      <w:pPr>
        <w:pStyle w:val="175"/>
        <w:rPr>
          <w:rFonts w:hAnsi="宋体"/>
          <w:sz w:val="24"/>
          <w:szCs w:val="24"/>
        </w:rPr>
      </w:pPr>
      <w:r>
        <w:rPr>
          <w:rFonts w:hint="eastAsia"/>
        </w:rPr>
        <w:t>用户收到产品，在平台上对产品、服务、质量进行评价，该评价计算得出该商家最新的累计评价系数。</w:t>
      </w:r>
    </w:p>
    <w:p>
      <w:pPr>
        <w:pStyle w:val="175"/>
        <w:numPr>
          <w:ilvl w:val="0"/>
          <w:numId w:val="0"/>
        </w:numPr>
        <w:jc w:val="center"/>
        <w:rPr>
          <w:rFonts w:hAnsi="宋体"/>
          <w:sz w:val="24"/>
          <w:szCs w:val="24"/>
        </w:rPr>
      </w:pPr>
      <w:r>
        <w:drawing>
          <wp:inline distT="0" distB="0" distL="114300" distR="114300">
            <wp:extent cx="4940935" cy="6064250"/>
            <wp:effectExtent l="0" t="0" r="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7"/>
                    <a:srcRect l="3960" t="2133" r="3253" b="3289"/>
                    <a:stretch>
                      <a:fillRect/>
                    </a:stretch>
                  </pic:blipFill>
                  <pic:spPr>
                    <a:xfrm>
                      <a:off x="0" y="0"/>
                      <a:ext cx="4960896" cy="6088112"/>
                    </a:xfrm>
                    <a:prstGeom prst="rect">
                      <a:avLst/>
                    </a:prstGeom>
                    <a:noFill/>
                    <a:ln>
                      <a:noFill/>
                    </a:ln>
                  </pic:spPr>
                </pic:pic>
              </a:graphicData>
            </a:graphic>
          </wp:inline>
        </w:drawing>
      </w:r>
    </w:p>
    <w:p>
      <w:pPr>
        <w:pStyle w:val="115"/>
        <w:spacing w:before="120" w:after="120"/>
      </w:pPr>
      <w:r>
        <w:rPr>
          <w:rFonts w:hint="eastAsia"/>
        </w:rPr>
        <w:t>铸造行业产品交易服务使用流程图</w:t>
      </w:r>
    </w:p>
    <w:p>
      <w:pPr>
        <w:pStyle w:val="66"/>
        <w:spacing w:before="120" w:after="120"/>
      </w:pPr>
      <w:bookmarkStart w:id="70" w:name="_Toc135310710"/>
      <w:bookmarkStart w:id="71" w:name="_Toc24657"/>
      <w:bookmarkStart w:id="72" w:name="_Toc31133"/>
      <w:r>
        <w:rPr>
          <w:rFonts w:hint="eastAsia"/>
        </w:rPr>
        <w:t>铸造行业供需对接服务</w:t>
      </w:r>
      <w:bookmarkEnd w:id="70"/>
      <w:bookmarkEnd w:id="71"/>
      <w:bookmarkEnd w:id="72"/>
    </w:p>
    <w:p>
      <w:pPr>
        <w:pStyle w:val="57"/>
        <w:ind w:firstLine="420"/>
      </w:pPr>
      <w:r>
        <w:rPr>
          <w:rFonts w:hint="eastAsia"/>
        </w:rPr>
        <w:t>铸造行业供需对接服务主要包括需求发布、服务商查找、需求报价、供需对接交易流程跟踪、交易评价等服务。铸造行业供需对接服务流程如下，见图3所示。</w:t>
      </w:r>
    </w:p>
    <w:p>
      <w:pPr>
        <w:pStyle w:val="175"/>
        <w:numPr>
          <w:ilvl w:val="0"/>
          <w:numId w:val="34"/>
        </w:numPr>
      </w:pPr>
      <w:r>
        <w:rPr>
          <w:rFonts w:hint="eastAsia"/>
        </w:rPr>
        <w:t>服务商注册登录、申请入驻，平台审核通过后入驻成功。</w:t>
      </w:r>
    </w:p>
    <w:p>
      <w:pPr>
        <w:pStyle w:val="175"/>
      </w:pPr>
      <w:r>
        <w:rPr>
          <w:rFonts w:hint="eastAsia"/>
        </w:rPr>
        <w:t>用户发布需求，平台接收到用户发布的需求信息，进行审核，审核通过后发布到平台前端展示。</w:t>
      </w:r>
    </w:p>
    <w:p>
      <w:pPr>
        <w:pStyle w:val="175"/>
      </w:pPr>
      <w:r>
        <w:rPr>
          <w:rFonts w:hint="eastAsia"/>
        </w:rPr>
        <w:t>服务商浏览需求，选择可以提供服务的需求进行报价。</w:t>
      </w:r>
    </w:p>
    <w:p>
      <w:pPr>
        <w:pStyle w:val="175"/>
      </w:pPr>
      <w:r>
        <w:rPr>
          <w:rFonts w:hint="eastAsia"/>
        </w:rPr>
        <w:t>用户在报价截止日期后选择其中一个服务商为该需求提供服务，并形成订单。</w:t>
      </w:r>
    </w:p>
    <w:p>
      <w:pPr>
        <w:pStyle w:val="175"/>
      </w:pPr>
      <w:r>
        <w:rPr>
          <w:rFonts w:hint="eastAsia"/>
        </w:rPr>
        <w:t>服务商为该需求进行服务，服务完成后，提交用户进行验收。</w:t>
      </w:r>
    </w:p>
    <w:p>
      <w:pPr>
        <w:pStyle w:val="175"/>
      </w:pPr>
      <w:r>
        <w:rPr>
          <w:rFonts w:hint="eastAsia"/>
        </w:rPr>
        <w:t>用户对已完成的服务进行验收，验收通过后对该服务商的服务能力、服务质量、服务效果等进行评价，该评价计算得出该商家最新的累计评价系数。</w:t>
      </w:r>
    </w:p>
    <w:p>
      <w:pPr>
        <w:pStyle w:val="115"/>
        <w:numPr>
          <w:ilvl w:val="0"/>
          <w:numId w:val="0"/>
        </w:numPr>
        <w:spacing w:before="120" w:after="120"/>
        <w:rPr>
          <w:rFonts w:ascii="宋体" w:hAnsi="宋体" w:eastAsia="宋体"/>
          <w:sz w:val="24"/>
          <w:szCs w:val="24"/>
        </w:rPr>
      </w:pPr>
      <w:r>
        <w:drawing>
          <wp:inline distT="0" distB="0" distL="114300" distR="114300">
            <wp:extent cx="4521200" cy="6148070"/>
            <wp:effectExtent l="0" t="0" r="0" b="508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28"/>
                    <a:srcRect l="4387" t="1468" r="3167" b="2723"/>
                    <a:stretch>
                      <a:fillRect/>
                    </a:stretch>
                  </pic:blipFill>
                  <pic:spPr>
                    <a:xfrm>
                      <a:off x="0" y="0"/>
                      <a:ext cx="4533571" cy="6165450"/>
                    </a:xfrm>
                    <a:prstGeom prst="rect">
                      <a:avLst/>
                    </a:prstGeom>
                    <a:noFill/>
                    <a:ln>
                      <a:noFill/>
                    </a:ln>
                  </pic:spPr>
                </pic:pic>
              </a:graphicData>
            </a:graphic>
          </wp:inline>
        </w:drawing>
      </w:r>
    </w:p>
    <w:p>
      <w:pPr>
        <w:pStyle w:val="115"/>
        <w:spacing w:before="120" w:after="120"/>
      </w:pPr>
      <w:r>
        <w:rPr>
          <w:rFonts w:hint="eastAsia"/>
        </w:rPr>
        <w:t>供需对接服务使用流程图</w:t>
      </w:r>
    </w:p>
    <w:p>
      <w:pPr>
        <w:pStyle w:val="66"/>
        <w:spacing w:before="120" w:after="120"/>
      </w:pPr>
      <w:bookmarkStart w:id="73" w:name="_Toc27378"/>
      <w:bookmarkStart w:id="74" w:name="_Toc25693"/>
      <w:bookmarkStart w:id="75" w:name="_Toc135310711"/>
      <w:r>
        <w:rPr>
          <w:rFonts w:hint="eastAsia"/>
        </w:rPr>
        <w:t>铸造行业数据应用服务</w:t>
      </w:r>
      <w:bookmarkEnd w:id="73"/>
      <w:bookmarkEnd w:id="74"/>
      <w:bookmarkEnd w:id="75"/>
    </w:p>
    <w:p>
      <w:pPr>
        <w:pStyle w:val="57"/>
        <w:ind w:firstLine="420"/>
      </w:pPr>
      <w:r>
        <w:rPr>
          <w:rFonts w:hint="eastAsia"/>
        </w:rPr>
        <w:t>铸造行业数据来源主要由协会及第三方数据服务平台接口提供，服务主要包括上游铸造原材料价格、铸件产量、铸造行业企业分布、产业集群分布、下游行业数据。铸造行业数据应用流程如下，见图4所示。</w:t>
      </w:r>
    </w:p>
    <w:p>
      <w:pPr>
        <w:pStyle w:val="175"/>
        <w:numPr>
          <w:ilvl w:val="0"/>
          <w:numId w:val="35"/>
        </w:numPr>
      </w:pPr>
      <w:r>
        <w:rPr>
          <w:rFonts w:hint="eastAsia"/>
        </w:rPr>
        <w:t>平台收集整理相关数据，后台维护、发布到前端展示。</w:t>
      </w:r>
    </w:p>
    <w:p>
      <w:pPr>
        <w:pStyle w:val="175"/>
      </w:pPr>
      <w:r>
        <w:rPr>
          <w:rFonts w:hint="eastAsia"/>
        </w:rPr>
        <w:t>用户订阅查看所需数据。</w:t>
      </w:r>
    </w:p>
    <w:p>
      <w:pPr>
        <w:pStyle w:val="175"/>
        <w:numPr>
          <w:ilvl w:val="0"/>
          <w:numId w:val="0"/>
        </w:numPr>
        <w:ind w:left="851"/>
      </w:pPr>
    </w:p>
    <w:p>
      <w:pPr>
        <w:autoSpaceDE w:val="0"/>
        <w:spacing w:after="50" w:line="360" w:lineRule="auto"/>
        <w:jc w:val="center"/>
        <w:rPr>
          <w:rFonts w:ascii="宋体" w:hAnsi="宋体"/>
          <w:sz w:val="24"/>
          <w:szCs w:val="24"/>
        </w:rPr>
      </w:pPr>
      <w:r>
        <w:drawing>
          <wp:inline distT="0" distB="0" distL="114300" distR="114300">
            <wp:extent cx="1403350" cy="1910715"/>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9"/>
                    <a:srcRect l="8210" t="4651" r="7389" b="4909"/>
                    <a:stretch>
                      <a:fillRect/>
                    </a:stretch>
                  </pic:blipFill>
                  <pic:spPr>
                    <a:xfrm>
                      <a:off x="0" y="0"/>
                      <a:ext cx="1407579" cy="1916936"/>
                    </a:xfrm>
                    <a:prstGeom prst="rect">
                      <a:avLst/>
                    </a:prstGeom>
                    <a:noFill/>
                    <a:ln>
                      <a:noFill/>
                    </a:ln>
                  </pic:spPr>
                </pic:pic>
              </a:graphicData>
            </a:graphic>
          </wp:inline>
        </w:drawing>
      </w:r>
      <w:r>
        <w:rPr>
          <w:rFonts w:hint="eastAsia" w:ascii="宋体" w:hAnsi="宋体"/>
          <w:sz w:val="24"/>
          <w:szCs w:val="24"/>
        </w:rPr>
        <w:t xml:space="preserve"> </w:t>
      </w:r>
    </w:p>
    <w:p>
      <w:pPr>
        <w:pStyle w:val="115"/>
        <w:spacing w:before="120" w:after="120"/>
      </w:pPr>
      <w:r>
        <w:rPr>
          <w:rFonts w:hint="eastAsia"/>
        </w:rPr>
        <w:t>铸造行业数据应用服务图</w:t>
      </w:r>
    </w:p>
    <w:p>
      <w:pPr>
        <w:pStyle w:val="66"/>
        <w:spacing w:before="120" w:after="120"/>
      </w:pPr>
      <w:bookmarkStart w:id="76" w:name="_Toc135310712"/>
      <w:bookmarkStart w:id="77" w:name="_Toc28355"/>
      <w:bookmarkStart w:id="78" w:name="_Toc28631"/>
      <w:r>
        <w:rPr>
          <w:rFonts w:hint="eastAsia"/>
        </w:rPr>
        <w:t>铸造行业培训服务</w:t>
      </w:r>
      <w:bookmarkEnd w:id="76"/>
      <w:bookmarkEnd w:id="77"/>
      <w:bookmarkEnd w:id="78"/>
    </w:p>
    <w:p>
      <w:pPr>
        <w:pStyle w:val="57"/>
        <w:ind w:firstLine="420"/>
      </w:pPr>
      <w:r>
        <w:rPr>
          <w:rFonts w:hint="eastAsia"/>
        </w:rPr>
        <w:t>铸造行业培训服务主要包括铸造相关课程视频资源、铸造行业培训解决方案。铸造行业培训服务流程如下，见图5所示。</w:t>
      </w:r>
    </w:p>
    <w:p>
      <w:pPr>
        <w:pStyle w:val="175"/>
        <w:numPr>
          <w:ilvl w:val="0"/>
          <w:numId w:val="36"/>
        </w:numPr>
      </w:pPr>
      <w:r>
        <w:rPr>
          <w:rFonts w:hint="eastAsia"/>
        </w:rPr>
        <w:t>平台制作视频课程资源并上架发布到前台展示。</w:t>
      </w:r>
    </w:p>
    <w:p>
      <w:pPr>
        <w:pStyle w:val="175"/>
      </w:pPr>
      <w:r>
        <w:rPr>
          <w:rFonts w:hint="eastAsia"/>
        </w:rPr>
        <w:t>用户查看、学习，如有需求，提出培训需求。</w:t>
      </w:r>
    </w:p>
    <w:p>
      <w:pPr>
        <w:pStyle w:val="175"/>
      </w:pPr>
      <w:r>
        <w:rPr>
          <w:rFonts w:hint="eastAsia"/>
        </w:rPr>
        <w:t>平台根据需求提供培训解决方案。</w:t>
      </w:r>
    </w:p>
    <w:p>
      <w:pPr>
        <w:pStyle w:val="175"/>
      </w:pPr>
      <w:r>
        <w:rPr>
          <w:rFonts w:hint="eastAsia"/>
        </w:rPr>
        <w:t>双方达成协议后，实施培训解决方案。</w:t>
      </w:r>
    </w:p>
    <w:p>
      <w:pPr>
        <w:autoSpaceDE w:val="0"/>
        <w:spacing w:after="50" w:line="360" w:lineRule="auto"/>
        <w:jc w:val="center"/>
        <w:rPr>
          <w:rFonts w:ascii="宋体" w:hAnsi="宋体"/>
          <w:sz w:val="24"/>
          <w:szCs w:val="24"/>
        </w:rPr>
      </w:pPr>
      <w:r>
        <w:drawing>
          <wp:inline distT="0" distB="0" distL="0" distR="0">
            <wp:extent cx="2359025" cy="4413250"/>
            <wp:effectExtent l="0" t="0" r="3175" b="6350"/>
            <wp:docPr id="13" name="图片 13" descr="C:\Users\Dell\AppData\Local\Temp\ksohtml\wps459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Dell\AppData\Local\Temp\ksohtml\wps4593.tmp.jpg"/>
                    <pic:cNvPicPr>
                      <a:picLocks noChangeAspect="1" noChangeArrowheads="1"/>
                    </pic:cNvPicPr>
                  </pic:nvPicPr>
                  <pic:blipFill>
                    <a:blip r:embed="rId30">
                      <a:extLst>
                        <a:ext uri="{28A0092B-C50C-407E-A947-70E740481C1C}">
                          <a14:useLocalDpi xmlns:a14="http://schemas.microsoft.com/office/drawing/2010/main" val="0"/>
                        </a:ext>
                      </a:extLst>
                    </a:blip>
                    <a:srcRect t="2675" b="2713"/>
                    <a:stretch>
                      <a:fillRect/>
                    </a:stretch>
                  </pic:blipFill>
                  <pic:spPr>
                    <a:xfrm>
                      <a:off x="0" y="0"/>
                      <a:ext cx="2379843" cy="4451033"/>
                    </a:xfrm>
                    <a:prstGeom prst="rect">
                      <a:avLst/>
                    </a:prstGeom>
                    <a:noFill/>
                    <a:ln>
                      <a:noFill/>
                    </a:ln>
                  </pic:spPr>
                </pic:pic>
              </a:graphicData>
            </a:graphic>
          </wp:inline>
        </w:drawing>
      </w:r>
      <w:r>
        <w:rPr>
          <w:rFonts w:hint="eastAsia" w:ascii="宋体" w:hAnsi="宋体"/>
          <w:sz w:val="24"/>
          <w:szCs w:val="24"/>
        </w:rPr>
        <w:t xml:space="preserve"> </w:t>
      </w:r>
    </w:p>
    <w:p>
      <w:pPr>
        <w:pStyle w:val="115"/>
        <w:spacing w:before="120" w:after="120"/>
      </w:pPr>
      <w:r>
        <w:rPr>
          <w:rFonts w:hint="eastAsia"/>
        </w:rPr>
        <w:t>铸造行业培训服务流程图</w:t>
      </w:r>
    </w:p>
    <w:p>
      <w:pPr>
        <w:pStyle w:val="66"/>
        <w:spacing w:before="120" w:after="120"/>
      </w:pPr>
      <w:bookmarkStart w:id="79" w:name="_Toc3686"/>
      <w:bookmarkStart w:id="80" w:name="_Toc135310713"/>
      <w:bookmarkStart w:id="81" w:name="_Toc4452"/>
      <w:r>
        <w:rPr>
          <w:rFonts w:hint="eastAsia"/>
        </w:rPr>
        <w:t>平台管理服务</w:t>
      </w:r>
      <w:bookmarkEnd w:id="79"/>
      <w:bookmarkEnd w:id="80"/>
      <w:bookmarkEnd w:id="81"/>
    </w:p>
    <w:p>
      <w:pPr>
        <w:pStyle w:val="57"/>
        <w:ind w:firstLine="420"/>
      </w:pPr>
      <w:r>
        <w:rPr>
          <w:rFonts w:hint="eastAsia"/>
        </w:rPr>
        <w:t>平台管理服务主要包括平台基本信息维护，管理已注册平台的用户信息和状态，管理平台发布的内容，查看交易订单信息、数据等。铸造行业云平台管理服务流程如下，见图6所示。</w:t>
      </w:r>
    </w:p>
    <w:p>
      <w:pPr>
        <w:pStyle w:val="175"/>
        <w:numPr>
          <w:ilvl w:val="0"/>
          <w:numId w:val="37"/>
        </w:numPr>
      </w:pPr>
      <w:r>
        <w:rPr>
          <w:rFonts w:hint="eastAsia"/>
        </w:rPr>
        <w:t>用户管理：对后台管理员账号、角色权限以及云平台所有用户信息、账号进行管理。</w:t>
      </w:r>
    </w:p>
    <w:p>
      <w:pPr>
        <w:pStyle w:val="175"/>
        <w:numPr>
          <w:ilvl w:val="0"/>
          <w:numId w:val="37"/>
        </w:numPr>
      </w:pPr>
      <w:r>
        <w:rPr>
          <w:rFonts w:hint="eastAsia"/>
        </w:rPr>
        <w:t>内容管理：对用户发布的内容进行审核，已发布内容进行管理查看。</w:t>
      </w:r>
    </w:p>
    <w:p>
      <w:pPr>
        <w:pStyle w:val="175"/>
        <w:numPr>
          <w:ilvl w:val="0"/>
          <w:numId w:val="37"/>
        </w:numPr>
      </w:pPr>
      <w:r>
        <w:rPr>
          <w:rFonts w:hint="eastAsia"/>
        </w:rPr>
        <w:t>订单管理：对平台发生的交易订单进行管理，查看订单详情、状态。</w:t>
      </w:r>
    </w:p>
    <w:p>
      <w:pPr>
        <w:pStyle w:val="175"/>
        <w:numPr>
          <w:ilvl w:val="0"/>
          <w:numId w:val="37"/>
        </w:numPr>
      </w:pPr>
      <w:r>
        <w:rPr>
          <w:rFonts w:hint="eastAsia"/>
        </w:rPr>
        <w:t>数据管理：对平台用户数、访客数、浏览量、交易额等数据进行统计分析。</w:t>
      </w:r>
    </w:p>
    <w:p>
      <w:pPr>
        <w:autoSpaceDE w:val="0"/>
        <w:spacing w:line="360" w:lineRule="auto"/>
        <w:ind w:right="90"/>
        <w:jc w:val="center"/>
        <w:rPr>
          <w:rFonts w:ascii="宋体" w:hAnsi="宋体"/>
          <w:sz w:val="24"/>
          <w:szCs w:val="24"/>
        </w:rPr>
      </w:pPr>
      <w:r>
        <w:drawing>
          <wp:inline distT="0" distB="0" distL="114300" distR="114300">
            <wp:extent cx="5461000" cy="2618740"/>
            <wp:effectExtent l="0" t="0" r="635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31"/>
                    <a:stretch>
                      <a:fillRect/>
                    </a:stretch>
                  </pic:blipFill>
                  <pic:spPr>
                    <a:xfrm>
                      <a:off x="0" y="0"/>
                      <a:ext cx="5479220" cy="2627658"/>
                    </a:xfrm>
                    <a:prstGeom prst="rect">
                      <a:avLst/>
                    </a:prstGeom>
                    <a:noFill/>
                    <a:ln>
                      <a:noFill/>
                    </a:ln>
                  </pic:spPr>
                </pic:pic>
              </a:graphicData>
            </a:graphic>
          </wp:inline>
        </w:drawing>
      </w:r>
    </w:p>
    <w:p>
      <w:pPr>
        <w:pStyle w:val="115"/>
        <w:spacing w:before="120" w:after="120"/>
        <w:rPr>
          <w:szCs w:val="22"/>
        </w:rPr>
      </w:pPr>
      <w:r>
        <w:rPr>
          <w:rFonts w:hint="eastAsia"/>
        </w:rPr>
        <w:t>平台管理服务流程图</w:t>
      </w:r>
      <w:r>
        <w:rPr>
          <w:rFonts w:hint="eastAsia"/>
          <w:szCs w:val="22"/>
        </w:rPr>
        <w:t xml:space="preserve"> </w:t>
      </w:r>
    </w:p>
    <w:p>
      <w:pPr>
        <w:pStyle w:val="105"/>
        <w:spacing w:before="240" w:after="240"/>
      </w:pPr>
      <w:bookmarkStart w:id="82" w:name="_Toc135310714"/>
      <w:r>
        <w:rPr>
          <w:rFonts w:hint="eastAsia"/>
        </w:rPr>
        <w:t>铸造行业云服务平台应用架构</w:t>
      </w:r>
      <w:bookmarkEnd w:id="82"/>
    </w:p>
    <w:p>
      <w:pPr>
        <w:pStyle w:val="106"/>
        <w:spacing w:before="120" w:after="120"/>
        <w:rPr>
          <w:color w:val="FF0000"/>
        </w:rPr>
      </w:pPr>
      <w:bookmarkStart w:id="83" w:name="_Toc135310715"/>
      <w:r>
        <w:rPr>
          <w:rFonts w:hint="eastAsia"/>
        </w:rPr>
        <w:t>铸造行业云服务平台功能</w:t>
      </w:r>
      <w:bookmarkEnd w:id="83"/>
    </w:p>
    <w:p>
      <w:pPr>
        <w:pStyle w:val="57"/>
        <w:ind w:firstLine="420"/>
      </w:pPr>
      <w:r>
        <w:rPr>
          <w:rFonts w:hint="eastAsia"/>
        </w:rPr>
        <w:t>铸造行业云服务平台核心功能宜包括但不限于铸造行业软件租赁、铸造行业产品交易、铸造行业供需对接、铸造行业数据应用、铸造行业培训、平台管理六大部分，见图7所示。</w:t>
      </w:r>
    </w:p>
    <w:p>
      <w:pPr>
        <w:pStyle w:val="57"/>
        <w:ind w:firstLine="420"/>
        <w:jc w:val="center"/>
      </w:pPr>
      <w:r>
        <w:rPr>
          <w:rFonts w:hint="eastAsia"/>
        </w:rPr>
        <w:drawing>
          <wp:inline distT="0" distB="0" distL="114300" distR="114300">
            <wp:extent cx="4895215" cy="7919720"/>
            <wp:effectExtent l="0" t="0" r="635" b="5080"/>
            <wp:docPr id="10" name="图片 10" descr="架构图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架构图新"/>
                    <pic:cNvPicPr>
                      <a:picLocks noChangeAspect="1"/>
                    </pic:cNvPicPr>
                  </pic:nvPicPr>
                  <pic:blipFill>
                    <a:blip r:embed="rId32"/>
                    <a:stretch>
                      <a:fillRect/>
                    </a:stretch>
                  </pic:blipFill>
                  <pic:spPr>
                    <a:xfrm>
                      <a:off x="0" y="0"/>
                      <a:ext cx="4895215" cy="7919720"/>
                    </a:xfrm>
                    <a:prstGeom prst="rect">
                      <a:avLst/>
                    </a:prstGeom>
                  </pic:spPr>
                </pic:pic>
              </a:graphicData>
            </a:graphic>
          </wp:inline>
        </w:drawing>
      </w:r>
    </w:p>
    <w:p>
      <w:pPr>
        <w:pStyle w:val="115"/>
        <w:spacing w:before="120" w:after="120"/>
      </w:pPr>
      <w:r>
        <w:rPr>
          <w:rFonts w:hint="eastAsia"/>
        </w:rPr>
        <w:t>铸造行业云服务平台功能架构</w:t>
      </w:r>
    </w:p>
    <w:p>
      <w:pPr>
        <w:pStyle w:val="106"/>
        <w:spacing w:before="120" w:after="120"/>
      </w:pPr>
      <w:bookmarkStart w:id="84" w:name="_Toc135310716"/>
      <w:r>
        <w:rPr>
          <w:rFonts w:hint="eastAsia"/>
        </w:rPr>
        <w:t>软件租赁</w:t>
      </w:r>
      <w:bookmarkEnd w:id="84"/>
    </w:p>
    <w:p>
      <w:pPr>
        <w:pStyle w:val="57"/>
        <w:ind w:firstLine="420"/>
      </w:pPr>
      <w:r>
        <w:rPr>
          <w:rFonts w:hint="eastAsia"/>
        </w:rPr>
        <w:t>铸造行业软件租赁宜包括但不限于软件浏览、在线试用、在线订购、我的应用功能，可实现为铸造企业提供企业管理、财务管理、生产管理等软件服务，见图8所示。</w:t>
      </w:r>
    </w:p>
    <w:p>
      <w:pPr>
        <w:autoSpaceDE w:val="0"/>
        <w:spacing w:after="52" w:line="360" w:lineRule="auto"/>
        <w:jc w:val="center"/>
        <w:rPr>
          <w:rFonts w:ascii="宋体" w:hAnsi="宋体"/>
          <w:sz w:val="24"/>
          <w:szCs w:val="24"/>
        </w:rPr>
      </w:pPr>
      <w:r>
        <w:rPr>
          <w:rFonts w:hint="eastAsia" w:ascii="宋体" w:hAnsi="宋体"/>
          <w:sz w:val="24"/>
          <w:szCs w:val="24"/>
        </w:rPr>
        <w:drawing>
          <wp:inline distT="0" distB="0" distL="114300" distR="114300">
            <wp:extent cx="3100705" cy="1900555"/>
            <wp:effectExtent l="0" t="0" r="4445" b="4445"/>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
                    <pic:cNvPicPr>
                      <a:picLocks noChangeAspect="1"/>
                    </pic:cNvPicPr>
                  </pic:nvPicPr>
                  <pic:blipFill>
                    <a:blip r:embed="rId33"/>
                    <a:srcRect t="6203" b="8912"/>
                    <a:stretch>
                      <a:fillRect/>
                    </a:stretch>
                  </pic:blipFill>
                  <pic:spPr>
                    <a:xfrm>
                      <a:off x="0" y="0"/>
                      <a:ext cx="3114715" cy="1909484"/>
                    </a:xfrm>
                    <a:prstGeom prst="rect">
                      <a:avLst/>
                    </a:prstGeom>
                  </pic:spPr>
                </pic:pic>
              </a:graphicData>
            </a:graphic>
          </wp:inline>
        </w:drawing>
      </w:r>
    </w:p>
    <w:p>
      <w:pPr>
        <w:pStyle w:val="115"/>
        <w:spacing w:before="120" w:after="120"/>
      </w:pPr>
      <w:r>
        <w:rPr>
          <w:rFonts w:hint="eastAsia"/>
        </w:rPr>
        <w:t>铸造行业软件租赁功能模型</w:t>
      </w:r>
    </w:p>
    <w:p>
      <w:pPr>
        <w:pStyle w:val="106"/>
        <w:spacing w:before="120" w:after="120"/>
      </w:pPr>
      <w:bookmarkStart w:id="85" w:name="_Toc135310717"/>
      <w:r>
        <w:rPr>
          <w:rFonts w:hint="eastAsia"/>
        </w:rPr>
        <w:t>产品交易</w:t>
      </w:r>
      <w:bookmarkEnd w:id="85"/>
    </w:p>
    <w:p>
      <w:pPr>
        <w:pStyle w:val="57"/>
        <w:ind w:firstLine="420"/>
      </w:pPr>
      <w:r>
        <w:rPr>
          <w:rFonts w:hint="eastAsia"/>
        </w:rPr>
        <w:t>铸造行业产品交易宜包括但不限于商家浏览、产品浏览、商家入驻、商家管理、买家管理、在线订购、购物车等功能，铸造行业企业可以将铸造原辅材料、铸件产品、铸造设备、模具等发布展示，在线交易，见图9所示。</w:t>
      </w:r>
    </w:p>
    <w:p>
      <w:pPr>
        <w:autoSpaceDE w:val="0"/>
        <w:spacing w:after="52" w:line="360" w:lineRule="auto"/>
        <w:rPr>
          <w:rFonts w:ascii="宋体" w:hAnsi="宋体"/>
          <w:sz w:val="24"/>
          <w:szCs w:val="24"/>
        </w:rPr>
      </w:pPr>
      <w:r>
        <w:rPr>
          <w:rFonts w:hint="eastAsia" w:ascii="宋体" w:hAnsi="宋体"/>
          <w:sz w:val="24"/>
          <w:szCs w:val="24"/>
        </w:rPr>
        <w:drawing>
          <wp:inline distT="0" distB="0" distL="114300" distR="114300">
            <wp:extent cx="5938520" cy="2209800"/>
            <wp:effectExtent l="0" t="0" r="5080" b="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34"/>
                    <a:stretch>
                      <a:fillRect/>
                    </a:stretch>
                  </pic:blipFill>
                  <pic:spPr>
                    <a:xfrm>
                      <a:off x="0" y="0"/>
                      <a:ext cx="5938520" cy="2209800"/>
                    </a:xfrm>
                    <a:prstGeom prst="rect">
                      <a:avLst/>
                    </a:prstGeom>
                  </pic:spPr>
                </pic:pic>
              </a:graphicData>
            </a:graphic>
          </wp:inline>
        </w:drawing>
      </w:r>
    </w:p>
    <w:p>
      <w:pPr>
        <w:pStyle w:val="115"/>
        <w:spacing w:before="120" w:after="120"/>
      </w:pPr>
      <w:r>
        <w:rPr>
          <w:rFonts w:hint="eastAsia"/>
        </w:rPr>
        <w:t>铸造行业产品交易功能模型</w:t>
      </w:r>
    </w:p>
    <w:p>
      <w:pPr>
        <w:pStyle w:val="106"/>
        <w:spacing w:before="120" w:after="120"/>
      </w:pPr>
      <w:bookmarkStart w:id="86" w:name="_Toc135310718"/>
      <w:r>
        <w:rPr>
          <w:rFonts w:hint="eastAsia"/>
        </w:rPr>
        <w:t>供需对接</w:t>
      </w:r>
      <w:bookmarkEnd w:id="86"/>
    </w:p>
    <w:p>
      <w:pPr>
        <w:pStyle w:val="57"/>
        <w:ind w:firstLine="420"/>
      </w:pPr>
      <w:r>
        <w:rPr>
          <w:rFonts w:hint="eastAsia"/>
        </w:rPr>
        <w:t>铸造行业供需对接宜包括但不限于需求浏览、服务浏览、资源浏览、客户案例浏览，服务商入驻、需求对接、服务订购，商家管理、买家管理等功能，可实现铸造行业供需对接服务，见图10所示。</w:t>
      </w:r>
    </w:p>
    <w:p>
      <w:pPr>
        <w:autoSpaceDE w:val="0"/>
        <w:spacing w:line="360" w:lineRule="auto"/>
        <w:ind w:left="208" w:right="90" w:firstLine="419"/>
        <w:rPr>
          <w:rFonts w:ascii="宋体" w:hAnsi="宋体"/>
          <w:sz w:val="24"/>
          <w:szCs w:val="24"/>
        </w:rPr>
      </w:pPr>
      <w:r>
        <w:rPr>
          <w:rFonts w:hint="eastAsia" w:ascii="宋体" w:hAnsi="宋体"/>
          <w:sz w:val="24"/>
          <w:szCs w:val="24"/>
        </w:rPr>
        <w:t xml:space="preserve"> </w:t>
      </w:r>
    </w:p>
    <w:p>
      <w:pPr>
        <w:autoSpaceDE w:val="0"/>
        <w:spacing w:after="51" w:line="360" w:lineRule="auto"/>
        <w:rPr>
          <w:rFonts w:ascii="宋体" w:hAnsi="宋体"/>
          <w:sz w:val="24"/>
          <w:szCs w:val="24"/>
        </w:rPr>
      </w:pPr>
      <w:r>
        <w:rPr>
          <w:rFonts w:hint="eastAsia" w:ascii="宋体" w:hAnsi="宋体"/>
          <w:sz w:val="24"/>
          <w:szCs w:val="24"/>
        </w:rPr>
        <w:drawing>
          <wp:inline distT="0" distB="0" distL="114300" distR="114300">
            <wp:extent cx="5932805" cy="2508250"/>
            <wp:effectExtent l="0" t="0" r="10795" b="635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35"/>
                    <a:stretch>
                      <a:fillRect/>
                    </a:stretch>
                  </pic:blipFill>
                  <pic:spPr>
                    <a:xfrm>
                      <a:off x="0" y="0"/>
                      <a:ext cx="5932805" cy="2508250"/>
                    </a:xfrm>
                    <a:prstGeom prst="rect">
                      <a:avLst/>
                    </a:prstGeom>
                  </pic:spPr>
                </pic:pic>
              </a:graphicData>
            </a:graphic>
          </wp:inline>
        </w:drawing>
      </w:r>
    </w:p>
    <w:p>
      <w:pPr>
        <w:pStyle w:val="115"/>
        <w:spacing w:before="120" w:after="120"/>
      </w:pPr>
      <w:r>
        <w:rPr>
          <w:rFonts w:hint="eastAsia"/>
        </w:rPr>
        <w:t>铸造行业供需对接功能模型</w:t>
      </w:r>
    </w:p>
    <w:p>
      <w:pPr>
        <w:pStyle w:val="106"/>
        <w:spacing w:before="120" w:after="120"/>
      </w:pPr>
      <w:bookmarkStart w:id="87" w:name="_Toc135310719"/>
      <w:r>
        <w:rPr>
          <w:rFonts w:hint="eastAsia"/>
        </w:rPr>
        <w:t>数据查看</w:t>
      </w:r>
      <w:bookmarkEnd w:id="87"/>
    </w:p>
    <w:p>
      <w:pPr>
        <w:pStyle w:val="57"/>
        <w:ind w:firstLine="420"/>
      </w:pPr>
      <w:r>
        <w:rPr>
          <w:rFonts w:hint="eastAsia"/>
        </w:rPr>
        <w:t>铸造行业数据查看宜包括但不限于材料价格查看、材料价格订阅、产业集群分布查看、铸件产量查看、企业分布查看、下游行业数据查看等功能，见图11所示。</w:t>
      </w:r>
    </w:p>
    <w:p>
      <w:pPr>
        <w:autoSpaceDE w:val="0"/>
        <w:spacing w:after="52" w:line="360" w:lineRule="auto"/>
        <w:jc w:val="center"/>
        <w:rPr>
          <w:rFonts w:ascii="宋体" w:hAnsi="宋体"/>
          <w:sz w:val="24"/>
          <w:szCs w:val="24"/>
        </w:rPr>
      </w:pPr>
      <w:r>
        <w:rPr>
          <w:rFonts w:hint="eastAsia" w:ascii="宋体" w:hAnsi="宋体"/>
          <w:sz w:val="24"/>
          <w:szCs w:val="24"/>
        </w:rPr>
        <w:drawing>
          <wp:inline distT="0" distB="0" distL="114300" distR="114300">
            <wp:extent cx="4476115" cy="2946400"/>
            <wp:effectExtent l="0" t="0" r="635" b="635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36"/>
                    <a:srcRect t="3067" b="5315"/>
                    <a:stretch>
                      <a:fillRect/>
                    </a:stretch>
                  </pic:blipFill>
                  <pic:spPr>
                    <a:xfrm>
                      <a:off x="0" y="0"/>
                      <a:ext cx="4493066" cy="2957482"/>
                    </a:xfrm>
                    <a:prstGeom prst="rect">
                      <a:avLst/>
                    </a:prstGeom>
                  </pic:spPr>
                </pic:pic>
              </a:graphicData>
            </a:graphic>
          </wp:inline>
        </w:drawing>
      </w:r>
    </w:p>
    <w:p>
      <w:pPr>
        <w:pStyle w:val="115"/>
        <w:spacing w:before="120" w:after="120"/>
      </w:pPr>
      <w:r>
        <w:rPr>
          <w:rFonts w:hint="eastAsia"/>
        </w:rPr>
        <w:t>铸造行业数据查看功能模型</w:t>
      </w:r>
    </w:p>
    <w:p>
      <w:pPr>
        <w:pStyle w:val="106"/>
        <w:spacing w:before="120" w:after="120"/>
      </w:pPr>
      <w:bookmarkStart w:id="88" w:name="_Toc135310720"/>
      <w:r>
        <w:rPr>
          <w:rFonts w:hint="eastAsia"/>
        </w:rPr>
        <w:t>培训</w:t>
      </w:r>
      <w:bookmarkEnd w:id="88"/>
    </w:p>
    <w:p>
      <w:pPr>
        <w:pStyle w:val="57"/>
        <w:ind w:firstLine="420"/>
      </w:pPr>
      <w:r>
        <w:rPr>
          <w:rFonts w:hint="eastAsia"/>
        </w:rPr>
        <w:t>铸造行业培训宜包括但不限于铸造相关课程视频资源、铸造行业培训解决方案等功能，见图12所示。</w:t>
      </w:r>
    </w:p>
    <w:p>
      <w:pPr>
        <w:autoSpaceDE w:val="0"/>
        <w:spacing w:line="360" w:lineRule="auto"/>
        <w:ind w:right="90"/>
        <w:jc w:val="center"/>
        <w:rPr>
          <w:rFonts w:ascii="宋体" w:hAnsi="宋体"/>
          <w:sz w:val="24"/>
          <w:szCs w:val="24"/>
        </w:rPr>
      </w:pPr>
      <w:r>
        <w:rPr>
          <w:rFonts w:hint="eastAsia" w:ascii="宋体" w:hAnsi="宋体"/>
          <w:sz w:val="24"/>
          <w:szCs w:val="24"/>
        </w:rPr>
        <w:drawing>
          <wp:inline distT="0" distB="0" distL="114300" distR="114300">
            <wp:extent cx="2501900" cy="2494280"/>
            <wp:effectExtent l="0" t="0" r="0" b="127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37"/>
                    <a:srcRect t="4798" b="6728"/>
                    <a:stretch>
                      <a:fillRect/>
                    </a:stretch>
                  </pic:blipFill>
                  <pic:spPr>
                    <a:xfrm>
                      <a:off x="0" y="0"/>
                      <a:ext cx="2510955" cy="2503705"/>
                    </a:xfrm>
                    <a:prstGeom prst="rect">
                      <a:avLst/>
                    </a:prstGeom>
                  </pic:spPr>
                </pic:pic>
              </a:graphicData>
            </a:graphic>
          </wp:inline>
        </w:drawing>
      </w:r>
    </w:p>
    <w:p>
      <w:pPr>
        <w:pStyle w:val="115"/>
        <w:spacing w:before="120" w:after="120"/>
      </w:pPr>
      <w:r>
        <w:rPr>
          <w:rFonts w:hint="eastAsia"/>
        </w:rPr>
        <w:t>铸造行业培训功能模型</w:t>
      </w:r>
    </w:p>
    <w:p>
      <w:pPr>
        <w:pStyle w:val="106"/>
        <w:spacing w:before="120" w:after="120"/>
      </w:pPr>
      <w:bookmarkStart w:id="89" w:name="_Toc135310721"/>
      <w:r>
        <w:rPr>
          <w:rFonts w:hint="eastAsia"/>
        </w:rPr>
        <w:t>平台管理</w:t>
      </w:r>
      <w:bookmarkEnd w:id="89"/>
    </w:p>
    <w:p>
      <w:pPr>
        <w:pStyle w:val="57"/>
        <w:ind w:firstLine="420"/>
      </w:pPr>
      <w:r>
        <w:rPr>
          <w:rFonts w:hint="eastAsia"/>
        </w:rPr>
        <w:t>平台管理系统功能宜包括但不限于用户管理、内容管理、订单管理以及数据管理，见图13所示。</w:t>
      </w:r>
    </w:p>
    <w:p>
      <w:pPr>
        <w:autoSpaceDE w:val="0"/>
        <w:spacing w:line="360" w:lineRule="auto"/>
        <w:ind w:right="90"/>
        <w:rPr>
          <w:rFonts w:ascii="宋体" w:hAnsi="宋体"/>
          <w:sz w:val="24"/>
          <w:szCs w:val="24"/>
        </w:rPr>
      </w:pPr>
      <w:r>
        <w:rPr>
          <w:rFonts w:hint="eastAsia" w:ascii="宋体" w:hAnsi="宋体"/>
          <w:sz w:val="24"/>
          <w:szCs w:val="24"/>
        </w:rPr>
        <w:drawing>
          <wp:inline distT="0" distB="0" distL="114300" distR="114300">
            <wp:extent cx="5937250" cy="3677920"/>
            <wp:effectExtent l="0" t="0" r="6350" b="1778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38"/>
                    <a:srcRect t="3291" b="4185"/>
                    <a:stretch>
                      <a:fillRect/>
                    </a:stretch>
                  </pic:blipFill>
                  <pic:spPr>
                    <a:xfrm>
                      <a:off x="0" y="0"/>
                      <a:ext cx="5937250" cy="3677920"/>
                    </a:xfrm>
                    <a:prstGeom prst="rect">
                      <a:avLst/>
                    </a:prstGeom>
                  </pic:spPr>
                </pic:pic>
              </a:graphicData>
            </a:graphic>
          </wp:inline>
        </w:drawing>
      </w:r>
    </w:p>
    <w:p>
      <w:pPr>
        <w:pStyle w:val="115"/>
        <w:spacing w:before="120" w:after="120"/>
      </w:pPr>
      <w:r>
        <w:rPr>
          <w:rFonts w:hint="eastAsia"/>
        </w:rPr>
        <w:t>平台管理功能模型</w:t>
      </w:r>
    </w:p>
    <w:p>
      <w:pPr>
        <w:pStyle w:val="105"/>
        <w:spacing w:before="240" w:after="240"/>
      </w:pPr>
      <w:bookmarkStart w:id="90" w:name="_Toc135310722"/>
      <w:r>
        <w:rPr>
          <w:rFonts w:hint="eastAsia"/>
        </w:rPr>
        <w:t>铸造行业云服务平台技术架构</w:t>
      </w:r>
      <w:bookmarkEnd w:id="90"/>
    </w:p>
    <w:p>
      <w:pPr>
        <w:pStyle w:val="106"/>
        <w:spacing w:before="120" w:after="120"/>
      </w:pPr>
      <w:bookmarkStart w:id="91" w:name="_Toc135310723"/>
      <w:r>
        <w:rPr>
          <w:rFonts w:hint="eastAsia"/>
        </w:rPr>
        <w:t>铸造行业云服务平台层级</w:t>
      </w:r>
      <w:bookmarkEnd w:id="91"/>
    </w:p>
    <w:p>
      <w:pPr>
        <w:pStyle w:val="57"/>
        <w:ind w:firstLine="420"/>
      </w:pPr>
      <w:r>
        <w:rPr>
          <w:rFonts w:hint="eastAsia"/>
        </w:rPr>
        <w:t>铸造行业云服务平台分为7个层级，见图14所示。</w:t>
      </w:r>
    </w:p>
    <w:p>
      <w:pPr>
        <w:autoSpaceDE w:val="0"/>
        <w:spacing w:after="50" w:line="360" w:lineRule="auto"/>
        <w:jc w:val="center"/>
        <w:rPr>
          <w:rFonts w:ascii="宋体" w:hAnsi="宋体"/>
          <w:sz w:val="24"/>
          <w:szCs w:val="24"/>
        </w:rPr>
      </w:pPr>
      <w:r>
        <w:drawing>
          <wp:inline distT="0" distB="0" distL="114300" distR="114300">
            <wp:extent cx="5933440" cy="4094480"/>
            <wp:effectExtent l="0" t="0" r="10160" b="127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39"/>
                    <a:stretch>
                      <a:fillRect/>
                    </a:stretch>
                  </pic:blipFill>
                  <pic:spPr>
                    <a:xfrm>
                      <a:off x="0" y="0"/>
                      <a:ext cx="5933440" cy="4094480"/>
                    </a:xfrm>
                    <a:prstGeom prst="rect">
                      <a:avLst/>
                    </a:prstGeom>
                    <a:noFill/>
                    <a:ln>
                      <a:noFill/>
                    </a:ln>
                  </pic:spPr>
                </pic:pic>
              </a:graphicData>
            </a:graphic>
          </wp:inline>
        </w:drawing>
      </w:r>
    </w:p>
    <w:p>
      <w:pPr>
        <w:pStyle w:val="115"/>
        <w:spacing w:before="120" w:after="120"/>
      </w:pPr>
      <w:r>
        <w:rPr>
          <w:rFonts w:hint="eastAsia"/>
        </w:rPr>
        <w:t>铸造行业云服务平台层级</w:t>
      </w:r>
    </w:p>
    <w:p>
      <w:pPr>
        <w:pStyle w:val="106"/>
        <w:spacing w:before="120" w:after="120"/>
      </w:pPr>
      <w:bookmarkStart w:id="92" w:name="_Toc135310724"/>
      <w:r>
        <w:rPr>
          <w:rFonts w:hint="eastAsia"/>
        </w:rPr>
        <w:t>资源层</w:t>
      </w:r>
      <w:bookmarkEnd w:id="92"/>
    </w:p>
    <w:p>
      <w:pPr>
        <w:pStyle w:val="57"/>
        <w:ind w:firstLine="420"/>
      </w:pPr>
      <w:r>
        <w:rPr>
          <w:rFonts w:hint="eastAsia"/>
        </w:rPr>
        <w:t>资源层宜汇聚铸造行业生产服务商、铸造行业商家和铸造行业软件等各类资源，提供从需求、服务、产品、物流配送等整个服务过程的资源。</w:t>
      </w:r>
    </w:p>
    <w:p>
      <w:pPr>
        <w:pStyle w:val="106"/>
        <w:spacing w:before="120" w:after="120"/>
      </w:pPr>
      <w:bookmarkStart w:id="93" w:name="_Toc135310725"/>
      <w:r>
        <w:rPr>
          <w:rFonts w:hint="eastAsia"/>
        </w:rPr>
        <w:t>基础支撑层</w:t>
      </w:r>
      <w:bookmarkEnd w:id="93"/>
    </w:p>
    <w:p>
      <w:pPr>
        <w:pStyle w:val="166"/>
      </w:pPr>
      <w:r>
        <w:rPr>
          <w:rFonts w:hint="eastAsia"/>
        </w:rPr>
        <w:t>基础支撑层是铸造行业云服务平台位于硬件层之上的基础层。</w:t>
      </w:r>
    </w:p>
    <w:p>
      <w:pPr>
        <w:pStyle w:val="166"/>
      </w:pPr>
      <w:r>
        <w:rPr>
          <w:rFonts w:hint="eastAsia"/>
        </w:rPr>
        <w:t>铸造行业云服务平台宜运用IAAS（基础设施即服务）的设备管理模式，为云平台提供运行基础支撑环境。</w:t>
      </w:r>
    </w:p>
    <w:p>
      <w:pPr>
        <w:pStyle w:val="166"/>
      </w:pPr>
      <w:r>
        <w:rPr>
          <w:rFonts w:hint="eastAsia"/>
        </w:rPr>
        <w:t xml:space="preserve">基础支撑层宜提供以下资源：  </w:t>
      </w:r>
    </w:p>
    <w:p>
      <w:pPr>
        <w:pStyle w:val="175"/>
        <w:numPr>
          <w:ilvl w:val="0"/>
          <w:numId w:val="38"/>
        </w:numPr>
      </w:pPr>
      <w:r>
        <w:rPr>
          <w:rFonts w:hint="eastAsia"/>
        </w:rPr>
        <w:t>铸造行业云服务平台宜提供平台正常运行所需的各类数据存储资源并对其进行描述，详细包括云服务器、云数据库和其他云存储介质等。云服务器宜具备性能的可扩展性；云数据库宜能够满足在多个云服务器上的分组；云数据库宜满足应用于三种运行模式（独立数据库；共享数据库，隔离数据架构；共享数据库，共享数据架构）；</w:t>
      </w:r>
    </w:p>
    <w:p>
      <w:pPr>
        <w:pStyle w:val="175"/>
        <w:numPr>
          <w:ilvl w:val="0"/>
          <w:numId w:val="38"/>
        </w:numPr>
      </w:pPr>
      <w:r>
        <w:rPr>
          <w:rFonts w:hint="eastAsia"/>
        </w:rPr>
        <w:t xml:space="preserve">铸造行业云服务平台宜提供平台正常运行所需的网络资源并对其进行描述，详细包括Internet、Intranet、Extranet和无线网络等所搭建形成的云服务网络及其拓扑结构、使用节点数和数据吞吐量等信息。 </w:t>
      </w:r>
    </w:p>
    <w:p>
      <w:pPr>
        <w:pStyle w:val="106"/>
        <w:spacing w:before="120" w:after="120"/>
      </w:pPr>
      <w:bookmarkStart w:id="94" w:name="_Toc135310726"/>
      <w:r>
        <w:rPr>
          <w:rFonts w:hint="eastAsia"/>
        </w:rPr>
        <w:t>平台集成运行环境层</w:t>
      </w:r>
      <w:bookmarkEnd w:id="94"/>
    </w:p>
    <w:p>
      <w:pPr>
        <w:pStyle w:val="57"/>
        <w:ind w:firstLine="420"/>
      </w:pPr>
      <w:r>
        <w:rPr>
          <w:rFonts w:hint="eastAsia"/>
        </w:rPr>
        <w:t>平台集成运行环境层是提高平台运行效率与安全的关键层，铸造行业云服务平台宜具备对服务平台集成运行环境进行监控管理的基本工具集，具体实现功能包括：</w:t>
      </w:r>
    </w:p>
    <w:p>
      <w:pPr>
        <w:pStyle w:val="175"/>
        <w:numPr>
          <w:ilvl w:val="0"/>
          <w:numId w:val="39"/>
        </w:numPr>
      </w:pPr>
      <w:r>
        <w:rPr>
          <w:rFonts w:ascii="Times New Roman"/>
        </w:rPr>
        <w:t>Q</w:t>
      </w:r>
      <w:r>
        <w:rPr>
          <w:rFonts w:hint="eastAsia" w:ascii="Times New Roman"/>
        </w:rPr>
        <w:t>o</w:t>
      </w:r>
      <w:r>
        <w:rPr>
          <w:rFonts w:ascii="Times New Roman"/>
        </w:rPr>
        <w:t>S</w:t>
      </w:r>
      <w:r>
        <w:rPr>
          <w:rFonts w:hint="eastAsia"/>
        </w:rPr>
        <w:t>（服务质量）：Qos宜实现支持FIFO、PQ、CQ、FQ、WFQ、CBWFQ、LLQ等排队策略，支持RSVP资源预留协议，支持CAR、SPD，支持WRED拥塞避免，支持流量整形，从而解决服务网络延迟和阻塞等问题；</w:t>
      </w:r>
    </w:p>
    <w:p>
      <w:pPr>
        <w:pStyle w:val="175"/>
        <w:numPr>
          <w:ilvl w:val="0"/>
          <w:numId w:val="39"/>
        </w:numPr>
      </w:pPr>
      <w:r>
        <w:rPr>
          <w:rFonts w:hint="eastAsia"/>
        </w:rPr>
        <w:t>安全管理：铸造行业云服务平台宜提供统一的安全服务，主要包括硬件安全、网络安全与信息安全，以及完善的数据存取安全策略、用户权限认证体系与系统日志记录等，安全防护宜遵循GB/T39403；</w:t>
      </w:r>
    </w:p>
    <w:p>
      <w:pPr>
        <w:pStyle w:val="175"/>
        <w:numPr>
          <w:ilvl w:val="0"/>
          <w:numId w:val="39"/>
        </w:numPr>
      </w:pPr>
      <w:r>
        <w:rPr>
          <w:rFonts w:hint="eastAsia"/>
        </w:rPr>
        <w:t>运行监控：铸造行业云服务平台宜对平台整体运行状态进行监控，并对异常事件进行提前预警，主要监控对象包括平台数据流量、并发用户数量、业务响应速率等。</w:t>
      </w:r>
    </w:p>
    <w:p>
      <w:pPr>
        <w:pStyle w:val="106"/>
        <w:spacing w:before="120" w:after="120"/>
      </w:pPr>
      <w:bookmarkStart w:id="95" w:name="_Toc135310727"/>
      <w:r>
        <w:rPr>
          <w:rFonts w:hint="eastAsia"/>
        </w:rPr>
        <w:t>持久化服务层</w:t>
      </w:r>
      <w:bookmarkEnd w:id="95"/>
    </w:p>
    <w:p>
      <w:pPr>
        <w:pStyle w:val="57"/>
        <w:ind w:firstLine="420"/>
      </w:pPr>
      <w:r>
        <w:rPr>
          <w:rFonts w:hint="eastAsia"/>
        </w:rPr>
        <w:t>持久化服务层是位于数据库与模型对象间的中间层。铸造行业云服务平台宜设计并实现对数据的持久化服务，采用持久化中间件等方式对数据、服务、流程逻辑进行持久化存储，对存储在数据库中的业务对象提供编程接口，执行相关操作。持久化服务层宜提供的基本功能及要求包括：</w:t>
      </w:r>
    </w:p>
    <w:p>
      <w:pPr>
        <w:pStyle w:val="175"/>
        <w:numPr>
          <w:ilvl w:val="0"/>
          <w:numId w:val="40"/>
        </w:numPr>
      </w:pPr>
      <w:r>
        <w:rPr>
          <w:rFonts w:hint="eastAsia"/>
        </w:rPr>
        <w:t>映射功能：持久化服务层在实体对象与数据库对象之间建立自动映射关系，程序员不需要编写复杂的SQL语句，直接操作实体对象即可实现对底层数据库的操作，降低了代码量，使程序员更加专注于业务逻辑的实现；</w:t>
      </w:r>
    </w:p>
    <w:p>
      <w:pPr>
        <w:pStyle w:val="175"/>
        <w:numPr>
          <w:ilvl w:val="0"/>
          <w:numId w:val="40"/>
        </w:numPr>
      </w:pPr>
      <w:r>
        <w:rPr>
          <w:rFonts w:hint="eastAsia"/>
        </w:rPr>
        <w:t>对象关系管理：数据对象之间，存在各种关系，包括1对1、1对多、多对1、多对多、级联等。在数据库对象更新的时候，应处理这些关系，以保证维持这些关系不会出现错误。持久化服务层在建立实体对象与数据库对象关系影射的同时，也自动根据数据库对象之间的关系创建实体对象的关系，提供维持这些关系完整、有效的机制；</w:t>
      </w:r>
    </w:p>
    <w:p>
      <w:pPr>
        <w:pStyle w:val="175"/>
        <w:numPr>
          <w:ilvl w:val="0"/>
          <w:numId w:val="40"/>
        </w:numPr>
      </w:pPr>
      <w:r>
        <w:rPr>
          <w:rFonts w:hint="eastAsia"/>
        </w:rPr>
        <w:t>异构数据库集成：在进行数据持久化时，宜了解后台使用的数据库、表、各个表的字段、各个字段的类型、表与表之间的关系、创建的索引等与后台数据库相关的详细信息。使用持久化服务，可以将数据库层完全隐蔽，只呈现数据对象；</w:t>
      </w:r>
    </w:p>
    <w:p>
      <w:pPr>
        <w:pStyle w:val="175"/>
        <w:numPr>
          <w:ilvl w:val="0"/>
          <w:numId w:val="40"/>
        </w:numPr>
      </w:pPr>
      <w:r>
        <w:rPr>
          <w:rFonts w:hint="eastAsia"/>
        </w:rPr>
        <w:t>数据访问性能优化：宜采用持久化服务，将根据具体数据库操作需要，自动延迟向后台数据库发送SQL请求，持久化服务也可以根据实际情况，将数据库访问操作合成，尽量减少不必要的数据库操作请求，实现数据访问性能的提升。</w:t>
      </w:r>
    </w:p>
    <w:p>
      <w:pPr>
        <w:pStyle w:val="106"/>
        <w:spacing w:before="120" w:after="120"/>
      </w:pPr>
      <w:bookmarkStart w:id="96" w:name="_Toc135310728"/>
      <w:r>
        <w:rPr>
          <w:rFonts w:hint="eastAsia"/>
        </w:rPr>
        <w:t>引擎层</w:t>
      </w:r>
      <w:bookmarkEnd w:id="96"/>
    </w:p>
    <w:p>
      <w:pPr>
        <w:pStyle w:val="57"/>
        <w:ind w:firstLine="420"/>
      </w:pPr>
      <w:r>
        <w:rPr>
          <w:rFonts w:hint="eastAsia"/>
        </w:rPr>
        <w:t>铸造行业云服务平台方宜开发一系列引擎，为云平台管理工具的研制提供基层支持。各引擎的划分原则及设计原则秉承引擎内高内聚、引擎间低耦合的特性，并充分考虑云平台的特性（包括云计算和云存储等），能够以服务集的方式为上层提供便捷的集成支持。铸造行业云服务平台开发的系列引擎宜包括：</w:t>
      </w:r>
    </w:p>
    <w:p>
      <w:pPr>
        <w:pStyle w:val="175"/>
        <w:numPr>
          <w:ilvl w:val="0"/>
          <w:numId w:val="41"/>
        </w:numPr>
      </w:pPr>
      <w:r>
        <w:rPr>
          <w:rFonts w:hint="eastAsia"/>
        </w:rPr>
        <w:t>产品在线浏览引擎：产品在线浏览引擎对产品图片进行即时加载浏览；</w:t>
      </w:r>
    </w:p>
    <w:p>
      <w:pPr>
        <w:pStyle w:val="175"/>
        <w:numPr>
          <w:ilvl w:val="0"/>
          <w:numId w:val="41"/>
        </w:numPr>
      </w:pPr>
      <w:r>
        <w:rPr>
          <w:rFonts w:hint="eastAsia"/>
        </w:rPr>
        <w:t>产品交易撮合引擎：产品交易撮合引擎对注册发布成功的产品、服务、需求等进行集成管理和撮合交易；</w:t>
      </w:r>
    </w:p>
    <w:p>
      <w:pPr>
        <w:pStyle w:val="175"/>
        <w:numPr>
          <w:ilvl w:val="0"/>
          <w:numId w:val="41"/>
        </w:numPr>
      </w:pPr>
      <w:r>
        <w:rPr>
          <w:rFonts w:hint="eastAsia"/>
        </w:rPr>
        <w:t>交易结算引擎：交易结算引擎宜包括交易实例的创建、运行、监控、异常处理及评价记录，以及第三方资金支付监管、服务交易的维权和投诉管理等；</w:t>
      </w:r>
    </w:p>
    <w:p>
      <w:pPr>
        <w:pStyle w:val="175"/>
        <w:numPr>
          <w:ilvl w:val="0"/>
          <w:numId w:val="41"/>
        </w:numPr>
      </w:pPr>
      <w:r>
        <w:rPr>
          <w:rFonts w:hint="eastAsia"/>
        </w:rPr>
        <w:t>负载均衡引擎：负载均衡引擎是保证海量用户高并发时平台正常高效的运行的举措，包括研究用户分布、访问时段、访问频率，制定科学智能的负载均衡机制；制定分布式服务器部署的策略与方法；</w:t>
      </w:r>
    </w:p>
    <w:p>
      <w:pPr>
        <w:pStyle w:val="175"/>
        <w:numPr>
          <w:ilvl w:val="0"/>
          <w:numId w:val="41"/>
        </w:numPr>
      </w:pPr>
      <w:r>
        <w:rPr>
          <w:rFonts w:hint="eastAsia"/>
        </w:rPr>
        <w:t>任务管理资源调度引擎：任务管理资源调度引擎包括平台任务系统的统一定义，资源与任务的科学分配与管理；保证任务的顺利完成，实现资源的高效充分的使用，维护平台运行的稳定高效。对平台任务过程的结构合理性、行为合规性、活动可调度性、过程成功率等方面进行分析，实现任务过程的在线演化和管理；</w:t>
      </w:r>
    </w:p>
    <w:p>
      <w:pPr>
        <w:pStyle w:val="106"/>
        <w:spacing w:before="120" w:after="120"/>
      </w:pPr>
      <w:bookmarkStart w:id="97" w:name="_Toc135310729"/>
      <w:r>
        <w:rPr>
          <w:rFonts w:hint="eastAsia"/>
        </w:rPr>
        <w:t>工具层</w:t>
      </w:r>
      <w:bookmarkEnd w:id="97"/>
    </w:p>
    <w:p>
      <w:pPr>
        <w:pStyle w:val="57"/>
        <w:ind w:firstLine="420"/>
      </w:pPr>
      <w:r>
        <w:rPr>
          <w:rFonts w:hint="eastAsia"/>
        </w:rPr>
        <w:t>铸造行业云服务平台方宜为平台用户提供友好的人机交互应用服务，实现平台的易操作性和功能的便捷性，支持资源与需求的方便注册、发布、搜索匹配、交易，以及业务管理、买卖双方评价等。针对各类工具，平台宜提供如下人机交互应用服务：</w:t>
      </w:r>
    </w:p>
    <w:p>
      <w:pPr>
        <w:pStyle w:val="175"/>
        <w:numPr>
          <w:ilvl w:val="0"/>
          <w:numId w:val="42"/>
        </w:numPr>
      </w:pPr>
      <w:r>
        <w:rPr>
          <w:rFonts w:hint="eastAsia"/>
        </w:rPr>
        <w:t>需求发布工具：需求发布工具主要为用户提供在线需求发布功能；</w:t>
      </w:r>
    </w:p>
    <w:p>
      <w:pPr>
        <w:pStyle w:val="175"/>
        <w:numPr>
          <w:ilvl w:val="0"/>
          <w:numId w:val="42"/>
        </w:numPr>
      </w:pPr>
      <w:r>
        <w:rPr>
          <w:rFonts w:hint="eastAsia"/>
        </w:rPr>
        <w:t>产品出售工具：产品出售工具是为商家提供在线开店及出售产品的工具，宜包括在线开店、店铺运营、订单管理、结算管理与评价管理等；</w:t>
      </w:r>
    </w:p>
    <w:p>
      <w:pPr>
        <w:pStyle w:val="175"/>
        <w:numPr>
          <w:ilvl w:val="0"/>
          <w:numId w:val="42"/>
        </w:numPr>
      </w:pPr>
      <w:r>
        <w:rPr>
          <w:rFonts w:hint="eastAsia"/>
        </w:rPr>
        <w:t>商城选购工具：商城选购工具是铸造行业云服务平台中实现商城选购功能的支持工具，宜包括产品搜索、产品浏览、购买下单、产品评论等。</w:t>
      </w:r>
    </w:p>
    <w:p>
      <w:pPr>
        <w:pStyle w:val="106"/>
        <w:spacing w:before="120" w:after="120"/>
      </w:pPr>
      <w:bookmarkStart w:id="98" w:name="_Toc135310730"/>
      <w:r>
        <w:rPr>
          <w:rFonts w:hint="eastAsia"/>
        </w:rPr>
        <w:t>用户层</w:t>
      </w:r>
      <w:bookmarkEnd w:id="98"/>
      <w:r>
        <w:rPr>
          <w:rFonts w:hint="eastAsia"/>
        </w:rPr>
        <w:tab/>
      </w:r>
    </w:p>
    <w:p>
      <w:pPr>
        <w:pStyle w:val="57"/>
        <w:ind w:firstLine="420"/>
      </w:pPr>
      <w:r>
        <w:rPr>
          <w:rFonts w:hint="eastAsia"/>
        </w:rPr>
        <w:t>铸造行业云服务平台提供方宜设计并实现用户层的功能，用户层是为用户提供访问和浏览服务的交互界面、提供用户需求注册发布服务，是用户与系统间信息交互的窗口。用户通过各种用户界面（包括传统PC终端、智能移动终端、专用终端等）使用平台提供的各类服务。针对平台各类用户，平台在用户层宜提供如下功能：</w:t>
      </w:r>
    </w:p>
    <w:p>
      <w:pPr>
        <w:pStyle w:val="175"/>
        <w:numPr>
          <w:ilvl w:val="0"/>
          <w:numId w:val="43"/>
        </w:numPr>
      </w:pPr>
      <w:r>
        <w:rPr>
          <w:rFonts w:hint="eastAsia"/>
        </w:rPr>
        <w:t>业务功能：云服务客户通过业务功能组件访问和使用工业云服务，以满足其业务活动需求。用户能够通过用户界面或以API的形式使用该组件。其业务功能组件宜包括查询、监控、调度等；</w:t>
      </w:r>
    </w:p>
    <w:p>
      <w:pPr>
        <w:pStyle w:val="175"/>
        <w:numPr>
          <w:ilvl w:val="0"/>
          <w:numId w:val="43"/>
        </w:numPr>
      </w:pPr>
      <w:r>
        <w:rPr>
          <w:rFonts w:hint="eastAsia"/>
        </w:rPr>
        <w:t>商务功能：云平台商务管理者通过商务功能组件完成工业云服务的商务运营活动，包括铸造行业云服务的选择和订购、铸造行业云服务的自动计量计费，使用云服务涉及的账务和财务管理等。云商务能力只能通过使用云服务来获取；</w:t>
      </w:r>
    </w:p>
    <w:p>
      <w:pPr>
        <w:pStyle w:val="175"/>
        <w:numPr>
          <w:ilvl w:val="0"/>
          <w:numId w:val="43"/>
        </w:numPr>
      </w:pPr>
      <w:r>
        <w:rPr>
          <w:rFonts w:hint="eastAsia"/>
        </w:rPr>
        <w:t>管理功能：云服务管理者通过管理功能组件完成云的运维管理活动，包括用户身份和配置文件管理、对服务活动和服务使用的监控、事件处理和问题报告等。云管理能力只能通过使用云服务来获取。</w:t>
      </w:r>
    </w:p>
    <w:p>
      <w:pPr>
        <w:pStyle w:val="175"/>
        <w:numPr>
          <w:ilvl w:val="0"/>
          <w:numId w:val="0"/>
        </w:numPr>
        <w:ind w:left="425"/>
      </w:pPr>
    </w:p>
    <w:bookmarkEnd w:id="25"/>
    <w:p>
      <w:pPr>
        <w:pStyle w:val="175"/>
        <w:numPr>
          <w:ilvl w:val="0"/>
          <w:numId w:val="0"/>
        </w:numPr>
        <w:ind w:left="425"/>
        <w:sectPr>
          <w:headerReference r:id="rId21" w:type="default"/>
          <w:footerReference r:id="rId23" w:type="default"/>
          <w:headerReference r:id="rId22" w:type="even"/>
          <w:footerReference r:id="rId24" w:type="even"/>
          <w:pgSz w:w="11906" w:h="16838"/>
          <w:pgMar w:top="2410" w:right="1134" w:bottom="1134" w:left="1134" w:header="1418" w:footer="1134" w:gutter="284"/>
          <w:pgNumType w:start="1"/>
          <w:cols w:space="425" w:num="1"/>
          <w:formProt w:val="0"/>
          <w:docGrid w:linePitch="312" w:charSpace="0"/>
        </w:sectPr>
      </w:pPr>
      <w:bookmarkStart w:id="99" w:name="BookMark6"/>
    </w:p>
    <w:p>
      <w:pPr>
        <w:pStyle w:val="64"/>
        <w:spacing w:before="96" w:after="120"/>
      </w:pPr>
      <w:bookmarkStart w:id="100" w:name="_Toc135310731"/>
      <w:r>
        <w:rPr>
          <w:rFonts w:hint="eastAsia"/>
          <w:spacing w:val="105"/>
        </w:rPr>
        <w:t>参考文</w:t>
      </w:r>
      <w:r>
        <w:rPr>
          <w:rFonts w:hint="eastAsia"/>
        </w:rPr>
        <w:t>献</w:t>
      </w:r>
      <w:bookmarkEnd w:id="100"/>
    </w:p>
    <w:p>
      <w:pPr>
        <w:pStyle w:val="57"/>
        <w:ind w:firstLine="420"/>
        <w:rPr>
          <w:color w:val="0000FF"/>
        </w:rPr>
      </w:pPr>
      <w:r>
        <w:rPr>
          <w:rFonts w:hint="eastAsia"/>
        </w:rPr>
        <w:t>[</w:t>
      </w:r>
      <w:r>
        <w:t>1</w:t>
      </w:r>
      <w:r>
        <w:rPr>
          <w:rFonts w:hint="eastAsia"/>
        </w:rPr>
        <w:t>] GB/T 40210-2021  增材制造云服务平台参考体系</w:t>
      </w:r>
    </w:p>
    <w:p>
      <w:pPr>
        <w:pStyle w:val="57"/>
        <w:ind w:firstLine="420"/>
      </w:pPr>
    </w:p>
    <w:p>
      <w:pPr>
        <w:pStyle w:val="57"/>
        <w:ind w:firstLine="420"/>
      </w:pPr>
    </w:p>
    <w:p>
      <w:pPr>
        <w:pStyle w:val="175"/>
        <w:numPr>
          <w:ilvl w:val="0"/>
          <w:numId w:val="0"/>
        </w:numPr>
        <w:ind w:left="425"/>
      </w:pPr>
    </w:p>
    <w:bookmarkEnd w:id="99"/>
    <w:p>
      <w:pPr>
        <w:pStyle w:val="175"/>
        <w:numPr>
          <w:ilvl w:val="0"/>
          <w:numId w:val="0"/>
        </w:numPr>
        <w:ind w:left="425"/>
      </w:pPr>
    </w:p>
    <w:p>
      <w:pPr>
        <w:rPr>
          <w:rFonts w:ascii="Times New Roman"/>
        </w:rPr>
      </w:pPr>
    </w:p>
    <w:p>
      <w:pPr>
        <w:rPr>
          <w:rFonts w:ascii="Times New Roman"/>
        </w:rPr>
      </w:pPr>
    </w:p>
    <w:p>
      <w:pPr>
        <w:rPr>
          <w:rFonts w:ascii="Times New Roman"/>
        </w:rPr>
      </w:pPr>
    </w:p>
    <w:p>
      <w:pPr>
        <w:jc w:val="center"/>
        <w:rPr>
          <w:rFonts w:ascii="Times New Roman"/>
        </w:rPr>
      </w:pPr>
      <w:bookmarkStart w:id="101" w:name="BookMark8"/>
      <w:r>
        <w:rPr>
          <w:rFonts w:ascii="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3E64EB"/>
    <w:rsid w:val="0000040A"/>
    <w:rsid w:val="00000A94"/>
    <w:rsid w:val="00001972"/>
    <w:rsid w:val="00001D9A"/>
    <w:rsid w:val="00004C1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5D5B"/>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AF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F4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774"/>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7E3"/>
    <w:rsid w:val="00263D25"/>
    <w:rsid w:val="002643C3"/>
    <w:rsid w:val="00264A0C"/>
    <w:rsid w:val="00266EEB"/>
    <w:rsid w:val="00267EF4"/>
    <w:rsid w:val="00270CB8"/>
    <w:rsid w:val="00272B08"/>
    <w:rsid w:val="002734B1"/>
    <w:rsid w:val="002801D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4A2"/>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B1E"/>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159"/>
    <w:rsid w:val="003812B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1CA7"/>
    <w:rsid w:val="003E2A69"/>
    <w:rsid w:val="003E2D49"/>
    <w:rsid w:val="003E2FD4"/>
    <w:rsid w:val="003E49F6"/>
    <w:rsid w:val="003E64EB"/>
    <w:rsid w:val="003E660F"/>
    <w:rsid w:val="003F0841"/>
    <w:rsid w:val="003F23D3"/>
    <w:rsid w:val="003F3F08"/>
    <w:rsid w:val="003F49F1"/>
    <w:rsid w:val="003F6272"/>
    <w:rsid w:val="00400E72"/>
    <w:rsid w:val="00401400"/>
    <w:rsid w:val="00404869"/>
    <w:rsid w:val="00405884"/>
    <w:rsid w:val="00407D39"/>
    <w:rsid w:val="0041477A"/>
    <w:rsid w:val="004167A3"/>
    <w:rsid w:val="00426169"/>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4E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5E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5E8"/>
    <w:rsid w:val="00592097"/>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36B"/>
    <w:rsid w:val="005C5F21"/>
    <w:rsid w:val="005C7156"/>
    <w:rsid w:val="005D0C75"/>
    <w:rsid w:val="005D4171"/>
    <w:rsid w:val="005D6A95"/>
    <w:rsid w:val="005D6B2C"/>
    <w:rsid w:val="005D6D9C"/>
    <w:rsid w:val="005E2335"/>
    <w:rsid w:val="005E30CC"/>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DF5"/>
    <w:rsid w:val="006205D6"/>
    <w:rsid w:val="006227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D49"/>
    <w:rsid w:val="00672060"/>
    <w:rsid w:val="00672BFD"/>
    <w:rsid w:val="00675606"/>
    <w:rsid w:val="0067615B"/>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41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91E"/>
    <w:rsid w:val="00742C35"/>
    <w:rsid w:val="007432CA"/>
    <w:rsid w:val="007439EB"/>
    <w:rsid w:val="00743CB4"/>
    <w:rsid w:val="00743F0A"/>
    <w:rsid w:val="007444E8"/>
    <w:rsid w:val="0074548E"/>
    <w:rsid w:val="00745773"/>
    <w:rsid w:val="00746800"/>
    <w:rsid w:val="007501A8"/>
    <w:rsid w:val="00750D61"/>
    <w:rsid w:val="00750EE1"/>
    <w:rsid w:val="00752B4D"/>
    <w:rsid w:val="0075327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B7D06"/>
    <w:rsid w:val="007C2D89"/>
    <w:rsid w:val="007C4593"/>
    <w:rsid w:val="007C5309"/>
    <w:rsid w:val="007C6069"/>
    <w:rsid w:val="007D06C4"/>
    <w:rsid w:val="007D1352"/>
    <w:rsid w:val="007D2508"/>
    <w:rsid w:val="007D346A"/>
    <w:rsid w:val="007D6518"/>
    <w:rsid w:val="007D76BD"/>
    <w:rsid w:val="007E0BF1"/>
    <w:rsid w:val="007E48EC"/>
    <w:rsid w:val="007F0ED8"/>
    <w:rsid w:val="007F0F63"/>
    <w:rsid w:val="007F75CE"/>
    <w:rsid w:val="008013A4"/>
    <w:rsid w:val="0080272C"/>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12F"/>
    <w:rsid w:val="0085173A"/>
    <w:rsid w:val="00854A82"/>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1F2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BE8"/>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662"/>
    <w:rsid w:val="009E4A58"/>
    <w:rsid w:val="009E5A2D"/>
    <w:rsid w:val="009E5AB2"/>
    <w:rsid w:val="009E6219"/>
    <w:rsid w:val="009F03B3"/>
    <w:rsid w:val="00A0096C"/>
    <w:rsid w:val="00A01757"/>
    <w:rsid w:val="00A028C0"/>
    <w:rsid w:val="00A02BAE"/>
    <w:rsid w:val="00A03808"/>
    <w:rsid w:val="00A06A6B"/>
    <w:rsid w:val="00A07E47"/>
    <w:rsid w:val="00A129D0"/>
    <w:rsid w:val="00A12C33"/>
    <w:rsid w:val="00A138BA"/>
    <w:rsid w:val="00A14C8E"/>
    <w:rsid w:val="00A153D9"/>
    <w:rsid w:val="00A15ECD"/>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C1C"/>
    <w:rsid w:val="00A55BD6"/>
    <w:rsid w:val="00A55D50"/>
    <w:rsid w:val="00A57142"/>
    <w:rsid w:val="00A636B9"/>
    <w:rsid w:val="00A648CD"/>
    <w:rsid w:val="00A6537A"/>
    <w:rsid w:val="00A67866"/>
    <w:rsid w:val="00A70B07"/>
    <w:rsid w:val="00A723F8"/>
    <w:rsid w:val="00A77CCB"/>
    <w:rsid w:val="00A81B88"/>
    <w:rsid w:val="00A83D8D"/>
    <w:rsid w:val="00A8446B"/>
    <w:rsid w:val="00A8473F"/>
    <w:rsid w:val="00A862D6"/>
    <w:rsid w:val="00A86E9B"/>
    <w:rsid w:val="00A8715E"/>
    <w:rsid w:val="00A9295B"/>
    <w:rsid w:val="00A93B09"/>
    <w:rsid w:val="00A952D7"/>
    <w:rsid w:val="00A963F7"/>
    <w:rsid w:val="00A96AD8"/>
    <w:rsid w:val="00AA052C"/>
    <w:rsid w:val="00AA1E45"/>
    <w:rsid w:val="00AA343A"/>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9CB"/>
    <w:rsid w:val="00AE070A"/>
    <w:rsid w:val="00AE101C"/>
    <w:rsid w:val="00AE2A69"/>
    <w:rsid w:val="00AE37E5"/>
    <w:rsid w:val="00AE4F69"/>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D10"/>
    <w:rsid w:val="00B31FB1"/>
    <w:rsid w:val="00B33952"/>
    <w:rsid w:val="00B33C5E"/>
    <w:rsid w:val="00B342F4"/>
    <w:rsid w:val="00B34369"/>
    <w:rsid w:val="00B34DC2"/>
    <w:rsid w:val="00B3519E"/>
    <w:rsid w:val="00B378E5"/>
    <w:rsid w:val="00B4346D"/>
    <w:rsid w:val="00B440F4"/>
    <w:rsid w:val="00B447A5"/>
    <w:rsid w:val="00B4654C"/>
    <w:rsid w:val="00B47293"/>
    <w:rsid w:val="00B50E50"/>
    <w:rsid w:val="00B52120"/>
    <w:rsid w:val="00B54ABC"/>
    <w:rsid w:val="00B56FBE"/>
    <w:rsid w:val="00B574B1"/>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AC1"/>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042"/>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37"/>
    <w:rsid w:val="00CD2808"/>
    <w:rsid w:val="00CD28BF"/>
    <w:rsid w:val="00CD4092"/>
    <w:rsid w:val="00CD4A20"/>
    <w:rsid w:val="00CD50A1"/>
    <w:rsid w:val="00CD519E"/>
    <w:rsid w:val="00CE0A53"/>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7F5"/>
    <w:rsid w:val="00D258EE"/>
    <w:rsid w:val="00D25E37"/>
    <w:rsid w:val="00D2661A"/>
    <w:rsid w:val="00D27582"/>
    <w:rsid w:val="00D27EC4"/>
    <w:rsid w:val="00D32719"/>
    <w:rsid w:val="00D33333"/>
    <w:rsid w:val="00D352A2"/>
    <w:rsid w:val="00D3530A"/>
    <w:rsid w:val="00D4162B"/>
    <w:rsid w:val="00D4514F"/>
    <w:rsid w:val="00D451E2"/>
    <w:rsid w:val="00D45E89"/>
    <w:rsid w:val="00D45E8D"/>
    <w:rsid w:val="00D466AE"/>
    <w:rsid w:val="00D4734F"/>
    <w:rsid w:val="00D51BF3"/>
    <w:rsid w:val="00D61A60"/>
    <w:rsid w:val="00D66846"/>
    <w:rsid w:val="00D675FB"/>
    <w:rsid w:val="00D71F25"/>
    <w:rsid w:val="00D72A9C"/>
    <w:rsid w:val="00D77031"/>
    <w:rsid w:val="00D774D9"/>
    <w:rsid w:val="00D83F2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8C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030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C5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4D4"/>
    <w:rsid w:val="00EB5EDF"/>
    <w:rsid w:val="00EB60FE"/>
    <w:rsid w:val="00EB6AB8"/>
    <w:rsid w:val="00EB74DB"/>
    <w:rsid w:val="00EC1E45"/>
    <w:rsid w:val="00EC5359"/>
    <w:rsid w:val="00EC562A"/>
    <w:rsid w:val="00ED067A"/>
    <w:rsid w:val="00ED2B50"/>
    <w:rsid w:val="00EE0350"/>
    <w:rsid w:val="00EE0719"/>
    <w:rsid w:val="00EE0E80"/>
    <w:rsid w:val="00EE116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7DC"/>
    <w:rsid w:val="00F25BB6"/>
    <w:rsid w:val="00F26B7E"/>
    <w:rsid w:val="00F27A3B"/>
    <w:rsid w:val="00F33817"/>
    <w:rsid w:val="00F40A3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6F03"/>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3E6"/>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F33"/>
    <w:rsid w:val="00FF3E7D"/>
    <w:rsid w:val="00FF5B99"/>
    <w:rsid w:val="00FF5F7A"/>
    <w:rsid w:val="00FF730C"/>
    <w:rsid w:val="00FF73F4"/>
    <w:rsid w:val="00FF7CE4"/>
    <w:rsid w:val="00FF7E39"/>
    <w:rsid w:val="012565E8"/>
    <w:rsid w:val="013B7408"/>
    <w:rsid w:val="045B16D1"/>
    <w:rsid w:val="06E22F4E"/>
    <w:rsid w:val="08931603"/>
    <w:rsid w:val="09A53D3D"/>
    <w:rsid w:val="0B1A3EE1"/>
    <w:rsid w:val="0E653000"/>
    <w:rsid w:val="0E7B64BA"/>
    <w:rsid w:val="0E9325E9"/>
    <w:rsid w:val="123A47A4"/>
    <w:rsid w:val="15A7710E"/>
    <w:rsid w:val="16354FB5"/>
    <w:rsid w:val="1D807E56"/>
    <w:rsid w:val="1DD80453"/>
    <w:rsid w:val="1EA656C3"/>
    <w:rsid w:val="227C3C4C"/>
    <w:rsid w:val="23FF584D"/>
    <w:rsid w:val="24545324"/>
    <w:rsid w:val="265C22FB"/>
    <w:rsid w:val="291466F2"/>
    <w:rsid w:val="29911FCA"/>
    <w:rsid w:val="2B945FD5"/>
    <w:rsid w:val="30975F04"/>
    <w:rsid w:val="33BE64D3"/>
    <w:rsid w:val="34BA0737"/>
    <w:rsid w:val="36C70271"/>
    <w:rsid w:val="3BE8663A"/>
    <w:rsid w:val="40DD16C6"/>
    <w:rsid w:val="41E974C9"/>
    <w:rsid w:val="428B736F"/>
    <w:rsid w:val="44B46109"/>
    <w:rsid w:val="44E848DD"/>
    <w:rsid w:val="454655FE"/>
    <w:rsid w:val="454667B6"/>
    <w:rsid w:val="4ABA7A6E"/>
    <w:rsid w:val="4E072C59"/>
    <w:rsid w:val="52E8378C"/>
    <w:rsid w:val="53DD44A8"/>
    <w:rsid w:val="55CD277B"/>
    <w:rsid w:val="564175B6"/>
    <w:rsid w:val="57334DC2"/>
    <w:rsid w:val="64C52E11"/>
    <w:rsid w:val="65F8567D"/>
    <w:rsid w:val="68AB4B53"/>
    <w:rsid w:val="6A2A6A60"/>
    <w:rsid w:val="6C4D7368"/>
    <w:rsid w:val="6D5414F4"/>
    <w:rsid w:val="6D94212F"/>
    <w:rsid w:val="73EF7CD0"/>
    <w:rsid w:val="741603E3"/>
    <w:rsid w:val="750B163A"/>
    <w:rsid w:val="75FC1068"/>
    <w:rsid w:val="77163072"/>
    <w:rsid w:val="7A23165B"/>
    <w:rsid w:val="7CBD62BB"/>
    <w:rsid w:val="7E174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99"/>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Body Text Indent 3"/>
    <w:basedOn w:val="1"/>
    <w:qFormat/>
    <w:uiPriority w:val="0"/>
    <w:pPr>
      <w:spacing w:after="120"/>
      <w:ind w:left="420" w:leftChars="200"/>
    </w:pPr>
    <w:rPr>
      <w:sz w:val="16"/>
      <w:szCs w:val="16"/>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2 字符"/>
    <w:link w:val="3"/>
    <w:qFormat/>
    <w:uiPriority w:val="99"/>
    <w:rPr>
      <w:rFonts w:ascii="Arial" w:hAnsi="Arial" w:eastAsia="黑体" w:cs="Times New Roman"/>
      <w:b/>
      <w:bCs/>
      <w:sz w:val="32"/>
      <w:szCs w:val="32"/>
    </w:rPr>
  </w:style>
  <w:style w:type="character" w:customStyle="1" w:styleId="36">
    <w:name w:val="标题 1 字符"/>
    <w:link w:val="2"/>
    <w:qFormat/>
    <w:uiPriority w:val="99"/>
    <w:rPr>
      <w:rFonts w:ascii="Times New Roman" w:hAnsi="Times New Roman" w:eastAsia="宋体" w:cs="Times New Roman"/>
      <w:b/>
      <w:bCs/>
      <w:kern w:val="44"/>
      <w:sz w:val="44"/>
      <w:szCs w:val="44"/>
    </w:rPr>
  </w:style>
  <w:style w:type="character" w:customStyle="1" w:styleId="37">
    <w:name w:val="标题 3 字符"/>
    <w:link w:val="4"/>
    <w:qFormat/>
    <w:uiPriority w:val="99"/>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5.jpeg"/><Relationship Id="rId4" Type="http://schemas.openxmlformats.org/officeDocument/2006/relationships/endnotes" Target="endnotes.xml"/><Relationship Id="rId39" Type="http://schemas.openxmlformats.org/officeDocument/2006/relationships/image" Target="media/image14.png"/><Relationship Id="rId38" Type="http://schemas.openxmlformats.org/officeDocument/2006/relationships/image" Target="media/image13.png"/><Relationship Id="rId37" Type="http://schemas.openxmlformats.org/officeDocument/2006/relationships/image" Target="media/image12.png"/><Relationship Id="rId36" Type="http://schemas.openxmlformats.org/officeDocument/2006/relationships/image" Target="media/image11.png"/><Relationship Id="rId35" Type="http://schemas.openxmlformats.org/officeDocument/2006/relationships/image" Target="media/image10.png"/><Relationship Id="rId34" Type="http://schemas.openxmlformats.org/officeDocument/2006/relationships/image" Target="media/image9.png"/><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image" Target="media/image5.jpe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6AF9988B424574BECC40D890C283F5"/>
        <w:style w:val=""/>
        <w:category>
          <w:name w:val="常规"/>
          <w:gallery w:val="placeholder"/>
        </w:category>
        <w:types>
          <w:type w:val="bbPlcHdr"/>
        </w:types>
        <w:behaviors>
          <w:behavior w:val="content"/>
        </w:behaviors>
        <w:description w:val=""/>
        <w:guid w:val="{A1901293-304F-4582-AB09-CF063132D9E3}"/>
      </w:docPartPr>
      <w:docPartBody>
        <w:p>
          <w:pPr>
            <w:pStyle w:val="5"/>
          </w:pPr>
          <w:r>
            <w:rPr>
              <w:rStyle w:val="4"/>
              <w:rFonts w:hint="eastAsia"/>
            </w:rPr>
            <w:t>单击或点击此处输入文字。</w:t>
          </w:r>
        </w:p>
      </w:docPartBody>
    </w:docPart>
    <w:docPart>
      <w:docPartPr>
        <w:name w:val="0EC078EDBDCE42F5B7581585807708C3"/>
        <w:style w:val=""/>
        <w:category>
          <w:name w:val="常规"/>
          <w:gallery w:val="placeholder"/>
        </w:category>
        <w:types>
          <w:type w:val="bbPlcHdr"/>
        </w:types>
        <w:behaviors>
          <w:behavior w:val="content"/>
        </w:behaviors>
        <w:description w:val=""/>
        <w:guid w:val="{A32E6A7B-575B-4C1A-80D2-D253A8BB9F0E}"/>
      </w:docPartPr>
      <w:docPartBody>
        <w:p>
          <w:pPr>
            <w:pStyle w:val="6"/>
          </w:pPr>
          <w:r>
            <w:rPr>
              <w:rStyle w:val="4"/>
              <w:rFonts w:hint="eastAsia"/>
            </w:rPr>
            <w:t>选择一项。</w:t>
          </w:r>
        </w:p>
      </w:docPartBody>
    </w:docPart>
    <w:docPart>
      <w:docPartPr>
        <w:name w:val="9CB15896D6ED493995F33BCA867487AF"/>
        <w:style w:val=""/>
        <w:category>
          <w:name w:val="常规"/>
          <w:gallery w:val="placeholder"/>
        </w:category>
        <w:types>
          <w:type w:val="bbPlcHdr"/>
        </w:types>
        <w:behaviors>
          <w:behavior w:val="content"/>
        </w:behaviors>
        <w:description w:val=""/>
        <w:guid w:val="{BDB947D7-3738-458F-98A4-B7E6A5481CD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72"/>
    <w:rsid w:val="0003693A"/>
    <w:rsid w:val="000C1825"/>
    <w:rsid w:val="000E62E8"/>
    <w:rsid w:val="000E630A"/>
    <w:rsid w:val="001727E4"/>
    <w:rsid w:val="00225421"/>
    <w:rsid w:val="004D1EE9"/>
    <w:rsid w:val="00616CC8"/>
    <w:rsid w:val="006F4DF8"/>
    <w:rsid w:val="006F64B6"/>
    <w:rsid w:val="00724E2C"/>
    <w:rsid w:val="007E0564"/>
    <w:rsid w:val="00872A56"/>
    <w:rsid w:val="00940617"/>
    <w:rsid w:val="009447E1"/>
    <w:rsid w:val="00A03072"/>
    <w:rsid w:val="00A2324D"/>
    <w:rsid w:val="00D96407"/>
    <w:rsid w:val="00F94F95"/>
    <w:rsid w:val="00FF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6AF9988B424574BECC40D890C283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C078EDBDCE42F5B758158580770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CB15896D6ED493995F33BCA867487A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47549-9FA6-4475-A027-497E5072E7D6}">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21</Pages>
  <Words>6905</Words>
  <Characters>7349</Characters>
  <Lines>68</Lines>
  <Paragraphs>19</Paragraphs>
  <TotalTime>4</TotalTime>
  <ScaleCrop>false</ScaleCrop>
  <LinksUpToDate>false</LinksUpToDate>
  <CharactersWithSpaces>7542</CharactersWithSpaces>
  <HyperlinkBase>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200000000000000ef6907000000000095a2ab643561346366666237306136653436363731366230633131316234323639356431</HyperlinkBas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2023-07-04T07:05:00Z</dcterms:created>
  <dc:creator>微软用户</dc:creator>
  <dc:description>&lt;config cover="true" show_menu="true" version="1.0.0" doctype="SDKXY"&gt;_x000d_
&lt;/config&gt;</dc:description>
  <cp:lastModifiedBy>王凤</cp:lastModifiedBy>
  <cp:lastPrinted>2021-02-02T08:22:00Z</cp:lastPrinted>
  <dcterms:modified xsi:type="dcterms:W3CDTF">2023-07-18T02:57:41Z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C1EBA412E8A24242870FBA576DDC5606_13</vt:lpwstr>
  </property>
  <property fmtid="{D5CDD505-2E9C-101B-9397-08002B2CF9AE}" pid="16" name="DoublePage">
    <vt:lpwstr>true</vt:lpwstr>
  </property>
</Properties>
</file>