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eastAsia="黑体"/>
          <w:b/>
          <w:color w:val="auto"/>
          <w:sz w:val="36"/>
          <w:highlight w:val="none"/>
        </w:rPr>
      </w:pPr>
      <w:r>
        <w:rPr>
          <w:rFonts w:hint="eastAsia" w:ascii="黑体" w:eastAsia="黑体"/>
          <w:b/>
          <w:color w:val="auto"/>
          <w:sz w:val="36"/>
          <w:highlight w:val="none"/>
        </w:rPr>
        <w:t>《高强度高塑性球墨铸铁件》团体标准编制说明</w:t>
      </w:r>
    </w:p>
    <w:p>
      <w:pPr>
        <w:spacing w:line="400" w:lineRule="exact"/>
        <w:jc w:val="center"/>
        <w:rPr>
          <w:rFonts w:ascii="黑体" w:hAnsi="宋体" w:eastAsia="黑体"/>
          <w:color w:val="auto"/>
          <w:szCs w:val="28"/>
          <w:highlight w:val="none"/>
        </w:rPr>
      </w:pPr>
      <w:r>
        <w:rPr>
          <w:rFonts w:hint="eastAsia" w:ascii="黑体" w:eastAsia="黑体"/>
          <w:b/>
          <w:color w:val="auto"/>
          <w:sz w:val="36"/>
          <w:highlight w:val="none"/>
        </w:rPr>
        <w:t>(</w:t>
      </w:r>
      <w:r>
        <w:rPr>
          <w:rFonts w:hint="eastAsia" w:ascii="黑体" w:eastAsia="黑体"/>
          <w:color w:val="auto"/>
          <w:sz w:val="36"/>
          <w:highlight w:val="none"/>
          <w:u w:val="single"/>
        </w:rPr>
        <w:t>征求意见稿</w:t>
      </w:r>
      <w:r>
        <w:rPr>
          <w:rFonts w:ascii="黑体" w:eastAsia="黑体"/>
          <w:color w:val="auto"/>
          <w:sz w:val="36"/>
          <w:highlight w:val="none"/>
          <w:u w:val="single"/>
        </w:rPr>
        <w:t xml:space="preserve"> </w:t>
      </w:r>
      <w:r>
        <w:rPr>
          <w:rFonts w:hint="eastAsia" w:ascii="黑体" w:eastAsia="黑体"/>
          <w:b/>
          <w:color w:val="auto"/>
          <w:sz w:val="36"/>
          <w:highlight w:val="none"/>
        </w:rPr>
        <w:t>)</w:t>
      </w:r>
    </w:p>
    <w:p>
      <w:pPr>
        <w:spacing w:line="320" w:lineRule="exact"/>
        <w:rPr>
          <w:rFonts w:ascii="黑体" w:hAnsi="宋体" w:eastAsia="黑体"/>
          <w:color w:val="auto"/>
          <w:sz w:val="24"/>
          <w:szCs w:val="24"/>
          <w:highlight w:val="none"/>
        </w:rPr>
      </w:pPr>
    </w:p>
    <w:p>
      <w:pPr>
        <w:spacing w:line="320" w:lineRule="exact"/>
        <w:ind w:firstLine="482" w:firstLineChars="200"/>
        <w:rPr>
          <w:rFonts w:ascii="黑体" w:hAnsi="宋体" w:eastAsia="黑体"/>
          <w:b/>
          <w:color w:val="auto"/>
          <w:sz w:val="24"/>
          <w:szCs w:val="24"/>
          <w:highlight w:val="none"/>
        </w:rPr>
      </w:pPr>
    </w:p>
    <w:p>
      <w:pPr>
        <w:spacing w:line="32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1.任务来源、工作简要过程、主要参加单位和工作组成员等</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1）任务来源</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Ansi="宋体" w:eastAsia="宋体"/>
          <w:color w:val="auto"/>
          <w:sz w:val="24"/>
          <w:highlight w:val="none"/>
        </w:rPr>
        <w:t>2018年初</w:t>
      </w:r>
      <w:r>
        <w:rPr>
          <w:rFonts w:hint="eastAsia" w:hAnsi="宋体" w:eastAsia="宋体"/>
          <w:color w:val="auto"/>
          <w:sz w:val="24"/>
          <w:highlight w:val="none"/>
        </w:rPr>
        <w:t>广西</w:t>
      </w:r>
      <w:r>
        <w:rPr>
          <w:rFonts w:hAnsi="宋体" w:eastAsia="宋体"/>
          <w:color w:val="auto"/>
          <w:sz w:val="24"/>
          <w:highlight w:val="none"/>
        </w:rPr>
        <w:t>玉柴机器股份有限公司提出申请</w:t>
      </w:r>
      <w:r>
        <w:rPr>
          <w:rFonts w:hint="eastAsia" w:hAnsi="宋体" w:eastAsia="宋体"/>
          <w:color w:val="auto"/>
          <w:sz w:val="24"/>
          <w:highlight w:val="none"/>
        </w:rPr>
        <w:t>，</w:t>
      </w:r>
      <w:r>
        <w:rPr>
          <w:rFonts w:hAnsi="宋体" w:eastAsia="宋体"/>
          <w:color w:val="auto"/>
          <w:sz w:val="24"/>
          <w:highlight w:val="none"/>
        </w:rPr>
        <w:t>中国铸造协会标准</w:t>
      </w:r>
      <w:r>
        <w:rPr>
          <w:rFonts w:hint="eastAsia" w:hAnsi="宋体" w:eastAsia="宋体"/>
          <w:color w:val="auto"/>
          <w:sz w:val="24"/>
          <w:highlight w:val="none"/>
        </w:rPr>
        <w:t>工作</w:t>
      </w:r>
      <w:r>
        <w:rPr>
          <w:rFonts w:hAnsi="宋体" w:eastAsia="宋体"/>
          <w:color w:val="auto"/>
          <w:sz w:val="24"/>
          <w:highlight w:val="none"/>
        </w:rPr>
        <w:t>委员会立项，2018年3月由中铸协正式批准</w:t>
      </w:r>
      <w:r>
        <w:rPr>
          <w:rFonts w:hint="eastAsia" w:hAnsi="宋体" w:eastAsia="宋体"/>
          <w:color w:val="auto"/>
          <w:sz w:val="24"/>
          <w:highlight w:val="none"/>
        </w:rPr>
        <w:t>，</w:t>
      </w:r>
      <w:r>
        <w:rPr>
          <w:rFonts w:hAnsi="宋体" w:eastAsia="宋体"/>
          <w:color w:val="auto"/>
          <w:sz w:val="24"/>
          <w:highlight w:val="none"/>
        </w:rPr>
        <w:t>中铸协标（2018）5号文件：“关于中国铸造协会铸铁工作委员会相关团体标准制修订的批复”</w:t>
      </w:r>
      <w:r>
        <w:rPr>
          <w:rFonts w:hint="eastAsia" w:hAnsi="宋体" w:eastAsia="宋体"/>
          <w:color w:val="auto"/>
          <w:sz w:val="24"/>
          <w:highlight w:val="none"/>
        </w:rPr>
        <w:t>编制</w:t>
      </w:r>
      <w:r>
        <w:rPr>
          <w:rFonts w:hint="eastAsia" w:hAnsi="宋体"/>
          <w:color w:val="auto"/>
          <w:highlight w:val="none"/>
        </w:rPr>
        <w:t>《高强度高塑性球墨铸铁件》（</w:t>
      </w:r>
      <w:r>
        <w:rPr>
          <w:rFonts w:hAnsi="宋体"/>
          <w:color w:val="auto"/>
          <w:highlight w:val="none"/>
        </w:rPr>
        <w:t>T/C</w:t>
      </w:r>
      <w:r>
        <w:rPr>
          <w:color w:val="auto"/>
          <w:highlight w:val="none"/>
        </w:rPr>
        <w:t>FA 010201.2 -- 201×</w:t>
      </w:r>
      <w:r>
        <w:rPr>
          <w:rFonts w:hint="eastAsia"/>
          <w:color w:val="auto"/>
          <w:highlight w:val="none"/>
        </w:rPr>
        <w:t>）</w:t>
      </w:r>
      <w:r>
        <w:rPr>
          <w:rFonts w:hint="eastAsia" w:hAnsi="宋体"/>
          <w:color w:val="auto"/>
          <w:highlight w:val="none"/>
        </w:rPr>
        <w:t>团体标准</w:t>
      </w:r>
      <w:r>
        <w:rPr>
          <w:rFonts w:hAnsi="宋体" w:eastAsia="宋体"/>
          <w:color w:val="auto"/>
          <w:sz w:val="24"/>
          <w:highlight w:val="none"/>
        </w:rPr>
        <w:t>。</w:t>
      </w:r>
      <w:r>
        <w:rPr>
          <w:rFonts w:hint="eastAsia" w:hAnsi="宋体" w:eastAsia="宋体"/>
          <w:color w:val="auto"/>
          <w:sz w:val="24"/>
          <w:highlight w:val="none"/>
        </w:rPr>
        <w:t>本标准主要起草单位：广西玉柴机器配件制造有限公司、广西</w:t>
      </w:r>
      <w:r>
        <w:rPr>
          <w:rFonts w:hAnsi="宋体" w:eastAsia="宋体"/>
          <w:color w:val="auto"/>
          <w:sz w:val="24"/>
          <w:highlight w:val="none"/>
        </w:rPr>
        <w:t>玉柴机器股份有限公司</w:t>
      </w:r>
      <w:r>
        <w:rPr>
          <w:rFonts w:hint="eastAsia" w:hAnsi="宋体" w:eastAsia="宋体"/>
          <w:color w:val="auto"/>
          <w:sz w:val="24"/>
          <w:highlight w:val="none"/>
        </w:rPr>
        <w:t>。计划完成时间调整为：2021年。</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2</w:t>
      </w:r>
      <w:r>
        <w:rPr>
          <w:rFonts w:ascii="黑体" w:hAnsi="黑体" w:eastAsia="黑体"/>
          <w:color w:val="auto"/>
          <w:sz w:val="24"/>
          <w:szCs w:val="24"/>
          <w:highlight w:val="none"/>
        </w:rPr>
        <w:t>)</w:t>
      </w:r>
      <w:r>
        <w:rPr>
          <w:rFonts w:hint="eastAsia" w:ascii="黑体" w:hAnsi="黑体" w:eastAsia="黑体"/>
          <w:color w:val="auto"/>
          <w:sz w:val="24"/>
          <w:szCs w:val="24"/>
          <w:highlight w:val="none"/>
        </w:rPr>
        <w:t>工作简要过程</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（1）</w:t>
      </w:r>
      <w:r>
        <w:rPr>
          <w:rFonts w:ascii="黑体" w:hAnsi="黑体" w:eastAsia="黑体"/>
          <w:color w:val="auto"/>
          <w:sz w:val="24"/>
          <w:szCs w:val="24"/>
          <w:highlight w:val="none"/>
        </w:rPr>
        <w:t>起草(草案、调研)阶段</w:t>
      </w:r>
      <w:r>
        <w:rPr>
          <w:rFonts w:hint="eastAsia" w:ascii="黑体" w:hAnsi="黑体" w:eastAsia="黑体"/>
          <w:color w:val="auto"/>
          <w:sz w:val="24"/>
          <w:szCs w:val="24"/>
          <w:highlight w:val="none"/>
        </w:rPr>
        <w:t>（应描述清楚起草组的成立情况以及开展的各项工作介绍，</w:t>
      </w:r>
      <w:r>
        <w:rPr>
          <w:rFonts w:hint="eastAsia" w:ascii="黑体" w:hAnsi="黑体" w:eastAsia="黑体"/>
          <w:i/>
          <w:color w:val="auto"/>
          <w:sz w:val="24"/>
          <w:szCs w:val="24"/>
          <w:highlight w:val="none"/>
        </w:rPr>
        <w:t>有专题调研报告时应将其扫描件作为附件附后</w:t>
      </w:r>
      <w:r>
        <w:rPr>
          <w:rFonts w:hint="eastAsia" w:ascii="黑体" w:hAnsi="黑体" w:eastAsia="黑体"/>
          <w:color w:val="auto"/>
          <w:sz w:val="24"/>
          <w:szCs w:val="24"/>
          <w:highlight w:val="none"/>
        </w:rPr>
        <w:t>）</w:t>
      </w:r>
      <w:r>
        <w:rPr>
          <w:rFonts w:ascii="黑体" w:hAnsi="黑体" w:eastAsia="黑体"/>
          <w:color w:val="auto"/>
          <w:sz w:val="24"/>
          <w:szCs w:val="24"/>
          <w:highlight w:val="none"/>
        </w:rPr>
        <w:t>：</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起草(草案、调研)阶段:计划下达后，20</w:t>
      </w:r>
      <w:r>
        <w:rPr>
          <w:rFonts w:hAnsi="宋体" w:eastAsia="宋体"/>
          <w:color w:val="auto"/>
          <w:sz w:val="24"/>
          <w:highlight w:val="none"/>
        </w:rPr>
        <w:t>21</w:t>
      </w:r>
      <w:r>
        <w:rPr>
          <w:rFonts w:hint="eastAsia" w:hAnsi="宋体" w:eastAsia="宋体"/>
          <w:color w:val="auto"/>
          <w:sz w:val="24"/>
          <w:highlight w:val="none"/>
        </w:rPr>
        <w:t>年4月2</w:t>
      </w:r>
      <w:r>
        <w:rPr>
          <w:rFonts w:hAnsi="宋体" w:eastAsia="宋体"/>
          <w:color w:val="auto"/>
          <w:sz w:val="24"/>
          <w:highlight w:val="none"/>
        </w:rPr>
        <w:t>0</w:t>
      </w:r>
      <w:r>
        <w:rPr>
          <w:rFonts w:hint="eastAsia" w:hAnsi="宋体" w:eastAsia="宋体"/>
          <w:color w:val="auto"/>
          <w:sz w:val="24"/>
          <w:highlight w:val="none"/>
        </w:rPr>
        <w:t>日中国铸造协会铸铁工作委员会组织各起草单位成立了起草工作组，由广西玉柴机器配件制造有限公司牵头成立了标准编制工作组，负责主要起草工作。成立了标准编制工作组，负责主要起草工作。明确了标准的主要技术内容、进度安排及有关要求，并成立标准起草工作组，收集相关试验数据与材料，初步形成标准草案。20</w:t>
      </w:r>
      <w:r>
        <w:rPr>
          <w:rFonts w:hAnsi="宋体" w:eastAsia="宋体"/>
          <w:color w:val="auto"/>
          <w:sz w:val="24"/>
          <w:highlight w:val="none"/>
        </w:rPr>
        <w:t>21</w:t>
      </w:r>
      <w:r>
        <w:rPr>
          <w:rFonts w:hint="eastAsia" w:hAnsi="宋体" w:eastAsia="宋体"/>
          <w:color w:val="auto"/>
          <w:sz w:val="24"/>
          <w:highlight w:val="none"/>
        </w:rPr>
        <w:t>年4月</w:t>
      </w:r>
      <w:r>
        <w:rPr>
          <w:rFonts w:hAnsi="宋体" w:eastAsia="宋体"/>
          <w:color w:val="auto"/>
          <w:sz w:val="24"/>
          <w:highlight w:val="none"/>
        </w:rPr>
        <w:t>20</w:t>
      </w:r>
      <w:r>
        <w:rPr>
          <w:rFonts w:hint="eastAsia" w:hAnsi="宋体" w:eastAsia="宋体"/>
          <w:color w:val="auto"/>
          <w:sz w:val="24"/>
          <w:highlight w:val="none"/>
        </w:rPr>
        <w:t>日，获得中国铸造协会批准，正式立项。</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20</w:t>
      </w:r>
      <w:r>
        <w:rPr>
          <w:rFonts w:hAnsi="宋体" w:eastAsia="宋体"/>
          <w:color w:val="auto"/>
          <w:sz w:val="24"/>
          <w:highlight w:val="none"/>
        </w:rPr>
        <w:t>21</w:t>
      </w:r>
      <w:r>
        <w:rPr>
          <w:rFonts w:hint="eastAsia" w:hAnsi="宋体" w:eastAsia="宋体"/>
          <w:color w:val="auto"/>
          <w:sz w:val="24"/>
          <w:highlight w:val="none"/>
        </w:rPr>
        <w:t>年</w:t>
      </w:r>
      <w:r>
        <w:rPr>
          <w:rFonts w:hAnsi="宋体" w:eastAsia="宋体"/>
          <w:color w:val="auto"/>
          <w:sz w:val="24"/>
          <w:highlight w:val="none"/>
        </w:rPr>
        <w:t>4</w:t>
      </w:r>
      <w:r>
        <w:rPr>
          <w:rFonts w:hint="eastAsia" w:hAnsi="宋体" w:eastAsia="宋体"/>
          <w:color w:val="auto"/>
          <w:sz w:val="24"/>
          <w:highlight w:val="none"/>
        </w:rPr>
        <w:t>月~202</w:t>
      </w:r>
      <w:r>
        <w:rPr>
          <w:rFonts w:hAnsi="宋体" w:eastAsia="宋体"/>
          <w:color w:val="auto"/>
          <w:sz w:val="24"/>
          <w:highlight w:val="none"/>
        </w:rPr>
        <w:t>1</w:t>
      </w:r>
      <w:r>
        <w:rPr>
          <w:rFonts w:hint="eastAsia" w:hAnsi="宋体" w:eastAsia="宋体"/>
          <w:color w:val="auto"/>
          <w:sz w:val="24"/>
          <w:highlight w:val="none"/>
        </w:rPr>
        <w:t>年</w:t>
      </w:r>
      <w:r>
        <w:rPr>
          <w:rFonts w:hAnsi="宋体" w:eastAsia="宋体"/>
          <w:color w:val="auto"/>
          <w:sz w:val="24"/>
          <w:highlight w:val="none"/>
        </w:rPr>
        <w:t>6</w:t>
      </w:r>
      <w:r>
        <w:rPr>
          <w:rFonts w:hint="eastAsia" w:hAnsi="宋体" w:eastAsia="宋体"/>
          <w:color w:val="auto"/>
          <w:sz w:val="24"/>
          <w:highlight w:val="none"/>
        </w:rPr>
        <w:t>月，工作组对国内外高强度高塑性球墨铸铁件技术现状与发展情况进行全面调研，同时广泛搜集相关标准和国内外技术资料，进行了大量的研究分析、资料查证工作，并结合实际应用经验，进行全面总结和归纳，在此基础上编制出《高强度高塑性球墨铸铁件》标准草案和编制说明初稿。</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2021年9月10号，中国铸造协会铸铁工作委员会组织召开了《高强度高塑形球墨铸铁件》团体标准草稿技术研讨会，会议采用线下线上相结合形式，京外标准起草组和专家组采用线上模式，北京市内非防控重点区域的标准起草组和专家组采用线下交流。主要讨论研究了标准的名称、范围、定义、基体组织和牌号性能，讨论处理了征求意见专家提出的修改意见共16条，处理建议见下表，采纳意见7条，未采纳意见9条。</w:t>
      </w:r>
    </w:p>
    <w:tbl>
      <w:tblPr>
        <w:tblStyle w:val="6"/>
        <w:tblpPr w:leftFromText="180" w:rightFromText="180" w:vertAnchor="text" w:horzAnchor="margin" w:tblpXSpec="center" w:tblpY="258"/>
        <w:tblOverlap w:val="never"/>
        <w:tblW w:w="0" w:type="auto"/>
        <w:tblInd w:w="0" w:type="dxa"/>
        <w:tblLayout w:type="fixed"/>
        <w:tblCellMar>
          <w:top w:w="0" w:type="dxa"/>
          <w:left w:w="108" w:type="dxa"/>
          <w:bottom w:w="0" w:type="dxa"/>
          <w:right w:w="108" w:type="dxa"/>
        </w:tblCellMar>
      </w:tblPr>
      <w:tblGrid>
        <w:gridCol w:w="595"/>
        <w:gridCol w:w="595"/>
        <w:gridCol w:w="2661"/>
        <w:gridCol w:w="3180"/>
        <w:gridCol w:w="1309"/>
      </w:tblGrid>
      <w:tr>
        <w:tblPrEx>
          <w:tblCellMar>
            <w:top w:w="0" w:type="dxa"/>
            <w:left w:w="108" w:type="dxa"/>
            <w:bottom w:w="0" w:type="dxa"/>
            <w:right w:w="108" w:type="dxa"/>
          </w:tblCellMar>
        </w:tblPrEx>
        <w:trPr>
          <w:trHeight w:val="417" w:hRule="atLeast"/>
        </w:trPr>
        <w:tc>
          <w:tcPr>
            <w:tcW w:w="83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专家意见汇总表</w:t>
            </w:r>
          </w:p>
        </w:tc>
      </w:tr>
      <w:tr>
        <w:tblPrEx>
          <w:tblCellMar>
            <w:top w:w="0" w:type="dxa"/>
            <w:left w:w="108" w:type="dxa"/>
            <w:bottom w:w="0" w:type="dxa"/>
            <w:right w:w="108" w:type="dxa"/>
          </w:tblCellMar>
        </w:tblPrEx>
        <w:trPr>
          <w:trHeight w:val="47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专家</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专家意见</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是否采纳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备注</w:t>
            </w:r>
          </w:p>
        </w:tc>
      </w:tr>
      <w:tr>
        <w:tblPrEx>
          <w:tblCellMar>
            <w:top w:w="0" w:type="dxa"/>
            <w:left w:w="108" w:type="dxa"/>
            <w:bottom w:w="0" w:type="dxa"/>
            <w:right w:w="108" w:type="dxa"/>
          </w:tblCellMar>
        </w:tblPrEx>
        <w:trPr>
          <w:trHeight w:val="14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1范围：金属型覆砂改为铁模覆砂</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采纳，改为：</w:t>
            </w:r>
            <w:r>
              <w:rPr>
                <w:rStyle w:val="18"/>
                <w:rFonts w:hint="default"/>
                <w:color w:val="auto"/>
                <w:highlight w:val="none"/>
              </w:rPr>
              <w:t>铁型覆砂</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7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2引用文件错别字</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82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3.1描述改为“一种通过加快液固转变和固态相变冷却速度，获得以凝固组织显著细化、基体组织主要由细片状珠光体组成为特性的高强度高塑性珠光体球墨铸铁。”</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未采纳，改为：一种兼有高强度和高塑性的球墨铸铁，抗拉强度≥7</w:t>
            </w:r>
            <w:r>
              <w:rPr>
                <w:rFonts w:ascii="宋体" w:hAnsi="宋体" w:eastAsia="宋体" w:cs="宋体"/>
                <w:color w:val="auto"/>
                <w:kern w:val="0"/>
                <w:sz w:val="22"/>
                <w:szCs w:val="22"/>
                <w:highlight w:val="none"/>
              </w:rPr>
              <w:t>00M</w:t>
            </w:r>
            <w:r>
              <w:rPr>
                <w:rFonts w:hint="eastAsia" w:ascii="宋体" w:hAnsi="宋体" w:eastAsia="宋体" w:cs="宋体"/>
                <w:color w:val="auto"/>
                <w:kern w:val="0"/>
                <w:sz w:val="22"/>
                <w:szCs w:val="22"/>
                <w:highlight w:val="none"/>
              </w:rPr>
              <w:t>pa，</w:t>
            </w:r>
            <w:r>
              <w:rPr>
                <w:rStyle w:val="18"/>
                <w:rFonts w:hint="default"/>
                <w:color w:val="auto"/>
                <w:highlight w:val="none"/>
              </w:rPr>
              <w:t>且伸长率不低于5%。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根据通用性</w:t>
            </w:r>
          </w:p>
        </w:tc>
      </w:tr>
      <w:tr>
        <w:tblPrEx>
          <w:tblCellMar>
            <w:top w:w="0" w:type="dxa"/>
            <w:left w:w="108" w:type="dxa"/>
            <w:bottom w:w="0" w:type="dxa"/>
            <w:right w:w="108" w:type="dxa"/>
          </w:tblCellMar>
        </w:tblPrEx>
        <w:trPr>
          <w:trHeight w:val="61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3.3/4/5/6.3错别字和错别描述</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2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6.4石墨组织球化级别1-2级，球数300个</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未采纳，改为：球化级别应1-3级，石墨颗粒大小</w:t>
            </w:r>
            <w:r>
              <w:rPr>
                <w:rStyle w:val="18"/>
                <w:rFonts w:hint="default"/>
                <w:color w:val="auto"/>
                <w:highlight w:val="none"/>
              </w:rPr>
              <w:t>4-8级</w:t>
            </w:r>
            <w:r>
              <w:rPr>
                <w:rStyle w:val="19"/>
                <w:rFonts w:hint="default"/>
                <w:color w:val="auto"/>
                <w:highlight w:val="none"/>
              </w:rPr>
              <w:t>，球数应不低于</w:t>
            </w:r>
            <w:r>
              <w:rPr>
                <w:rStyle w:val="18"/>
                <w:rFonts w:hint="default"/>
                <w:color w:val="auto"/>
                <w:highlight w:val="none"/>
              </w:rPr>
              <w:t>100个/mm²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根据通用性</w:t>
            </w:r>
          </w:p>
        </w:tc>
      </w:tr>
      <w:tr>
        <w:tblPrEx>
          <w:tblCellMar>
            <w:top w:w="0" w:type="dxa"/>
            <w:left w:w="108" w:type="dxa"/>
            <w:bottom w:w="0" w:type="dxa"/>
            <w:right w:w="108" w:type="dxa"/>
          </w:tblCellMar>
        </w:tblPrEx>
        <w:trPr>
          <w:trHeight w:val="157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6.5基体组织同时含有3-15%铁素体</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未采纳，改为“高强度高塑性球墨铸铁的基体组织应以珠光体为主。”</w:t>
            </w:r>
            <w:r>
              <w:rPr>
                <w:rFonts w:hint="eastAsia" w:ascii="宋体" w:hAnsi="宋体" w:eastAsia="宋体" w:cs="宋体"/>
                <w:color w:val="auto"/>
                <w:kern w:val="0"/>
                <w:sz w:val="22"/>
                <w:szCs w:val="22"/>
                <w:highlight w:val="none"/>
              </w:rPr>
              <w:br w:type="textWrapping"/>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根据通用性</w:t>
            </w:r>
          </w:p>
        </w:tc>
      </w:tr>
      <w:tr>
        <w:tblPrEx>
          <w:tblCellMar>
            <w:top w:w="0" w:type="dxa"/>
            <w:left w:w="108" w:type="dxa"/>
            <w:bottom w:w="0" w:type="dxa"/>
            <w:right w:w="108" w:type="dxa"/>
          </w:tblCellMar>
        </w:tblPrEx>
        <w:trPr>
          <w:trHeight w:val="61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A</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6.9/7.3/8.1/8.7/9.4/10错别字和错别描述</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05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B</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表1中：珠光体+铁素体，是否应改为珠光体</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未采纳，标准中以拉伸性能作为验收主要指标，删除了基体组织一栏。</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trike/>
                <w:color w:val="auto"/>
                <w:sz w:val="22"/>
                <w:szCs w:val="22"/>
                <w:highlight w:val="none"/>
              </w:rPr>
            </w:pPr>
          </w:p>
        </w:tc>
      </w:tr>
      <w:tr>
        <w:tblPrEx>
          <w:tblCellMar>
            <w:top w:w="0" w:type="dxa"/>
            <w:left w:w="108" w:type="dxa"/>
            <w:bottom w:w="0" w:type="dxa"/>
            <w:right w:w="108" w:type="dxa"/>
          </w:tblCellMar>
        </w:tblPrEx>
        <w:trPr>
          <w:trHeight w:val="105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B</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6.5基体组织主要为球状石墨+细片状珠光体，建议改为细片状珠光体</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未采纳，修改为：高强度高塑性球墨铸铁的基体组织应以珠光体为主。</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根据通用性</w:t>
            </w:r>
          </w:p>
        </w:tc>
      </w:tr>
      <w:tr>
        <w:tblPrEx>
          <w:tblCellMar>
            <w:top w:w="0" w:type="dxa"/>
            <w:left w:w="108" w:type="dxa"/>
            <w:bottom w:w="0" w:type="dxa"/>
            <w:right w:w="108" w:type="dxa"/>
          </w:tblCellMar>
        </w:tblPrEx>
        <w:trPr>
          <w:trHeight w:val="182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B</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6.5铸件某些断面的冷却速度可能不足以完全避免珠光体或其他高温转变组织的形成，这些显微组织的最大值及其拉伸性能可由供需双方商定。描述模糊</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未采纳，修改为：删除这部分描述，只保留：高强度高塑性球墨铸铁的基体组织应以珠光体为主。</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C</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表1中：QT700-10，基体组织铸态建议改为：铸态或正火态</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未采纳，标准中以拉伸性能作为验收主要指标，删除了基体组织组织一栏。</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D</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本标准建议改为本文件</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3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D</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错别字、个别描述、序号等</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16"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E</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标准名称范围：建议改为“高强度高塑性珠光体球墨铸铁件”</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w:t>
            </w:r>
            <w:r>
              <w:rPr>
                <w:rStyle w:val="19"/>
                <w:rFonts w:hint="default"/>
                <w:color w:val="auto"/>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根据通用性</w:t>
            </w:r>
          </w:p>
        </w:tc>
      </w:tr>
      <w:tr>
        <w:tblPrEx>
          <w:tblCellMar>
            <w:top w:w="0" w:type="dxa"/>
            <w:left w:w="108" w:type="dxa"/>
            <w:bottom w:w="0" w:type="dxa"/>
            <w:right w:w="108" w:type="dxa"/>
          </w:tblCellMar>
        </w:tblPrEx>
        <w:trPr>
          <w:trHeight w:val="80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E</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冲击值注明“无缺口”</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未采纳，高强度球墨铸铁一般不要求冲击性能，删除了</w:t>
            </w:r>
            <w:r>
              <w:rPr>
                <w:rStyle w:val="18"/>
                <w:rFonts w:hint="default"/>
                <w:color w:val="auto"/>
                <w:highlight w:val="none"/>
              </w:rPr>
              <w:t>冲击性能要求</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83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16</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E</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抗拉强度800MPa以上伸长率建议用5%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教科书也描述“工程材料通常把延伸率大于5%，称为塑性材料”</w:t>
            </w:r>
          </w:p>
        </w:tc>
      </w:tr>
    </w:tbl>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2</w:t>
      </w:r>
      <w:r>
        <w:rPr>
          <w:rFonts w:hAnsi="宋体" w:eastAsia="宋体"/>
          <w:color w:val="auto"/>
          <w:sz w:val="24"/>
          <w:highlight w:val="none"/>
        </w:rPr>
        <w:t>022.1</w:t>
      </w:r>
      <w:r>
        <w:rPr>
          <w:rFonts w:hint="eastAsia" w:hAnsi="宋体" w:eastAsia="宋体"/>
          <w:color w:val="auto"/>
          <w:sz w:val="24"/>
          <w:highlight w:val="none"/>
        </w:rPr>
        <w:t>月底前，在本标准的研讨微信群中陆续收到山东宇信铸业、湖北普尔精密科技有限公司、东风商用车有限公司东风商用车技术中心、江苏汤臣汽车零部件有限公司、山西东鑫衡隆机械制造股份有限公司等单位为本标准的编制提供的生产性验证数据。</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（2）</w:t>
      </w:r>
      <w:r>
        <w:rPr>
          <w:rFonts w:ascii="黑体" w:hAnsi="黑体" w:eastAsia="黑体"/>
          <w:color w:val="auto"/>
          <w:sz w:val="24"/>
          <w:szCs w:val="24"/>
          <w:highlight w:val="none"/>
        </w:rPr>
        <w:t>征求意见阶段</w:t>
      </w:r>
      <w:r>
        <w:rPr>
          <w:rFonts w:hint="eastAsia" w:ascii="黑体" w:hAnsi="黑体" w:eastAsia="黑体"/>
          <w:color w:val="auto"/>
          <w:sz w:val="24"/>
          <w:szCs w:val="24"/>
          <w:highlight w:val="none"/>
        </w:rPr>
        <w:t>（应描述清楚征求意见反馈情况）</w:t>
      </w:r>
      <w:r>
        <w:rPr>
          <w:rFonts w:ascii="黑体" w:hAnsi="黑体" w:eastAsia="黑体"/>
          <w:color w:val="auto"/>
          <w:sz w:val="24"/>
          <w:szCs w:val="24"/>
          <w:highlight w:val="none"/>
        </w:rPr>
        <w:t>：</w:t>
      </w:r>
    </w:p>
    <w:p>
      <w:pPr>
        <w:spacing w:before="156" w:beforeLines="50" w:after="156" w:afterLines="50" w:line="440" w:lineRule="exact"/>
        <w:ind w:firstLine="480" w:firstLineChars="200"/>
        <w:outlineLvl w:val="0"/>
        <w:rPr>
          <w:rFonts w:hint="default" w:hAnsi="宋体" w:eastAsia="宋体"/>
          <w:color w:val="auto"/>
          <w:sz w:val="24"/>
          <w:highlight w:val="none"/>
          <w:lang w:val="en-US" w:eastAsia="zh-CN"/>
        </w:rPr>
      </w:pPr>
      <w:r>
        <w:rPr>
          <w:rFonts w:ascii="黑体" w:hAnsi="黑体" w:eastAsia="黑体"/>
          <w:color w:val="auto"/>
          <w:sz w:val="24"/>
          <w:szCs w:val="24"/>
          <w:highlight w:val="none"/>
        </w:rPr>
        <w:t>2</w:t>
      </w:r>
      <w:r>
        <w:rPr>
          <w:rFonts w:hAnsi="宋体" w:eastAsia="宋体"/>
          <w:color w:val="auto"/>
          <w:sz w:val="24"/>
          <w:highlight w:val="none"/>
        </w:rPr>
        <w:t>022</w:t>
      </w:r>
      <w:r>
        <w:rPr>
          <w:rFonts w:hint="eastAsia" w:hAnsi="宋体" w:eastAsia="宋体"/>
          <w:color w:val="auto"/>
          <w:sz w:val="24"/>
          <w:highlight w:val="none"/>
        </w:rPr>
        <w:t>年4月</w:t>
      </w:r>
      <w:r>
        <w:rPr>
          <w:rFonts w:hAnsi="宋体" w:eastAsia="宋体"/>
          <w:color w:val="auto"/>
          <w:sz w:val="24"/>
          <w:highlight w:val="none"/>
        </w:rPr>
        <w:t>6</w:t>
      </w:r>
      <w:r>
        <w:rPr>
          <w:rFonts w:hint="eastAsia" w:hAnsi="宋体" w:eastAsia="宋体"/>
          <w:color w:val="auto"/>
          <w:sz w:val="24"/>
          <w:highlight w:val="none"/>
        </w:rPr>
        <w:t>日，中铸协标准委在本标准的研讨微信群中发出对本标准征求意见稿的征求意见。共收到</w:t>
      </w:r>
      <w:r>
        <w:rPr>
          <w:rFonts w:hAnsi="宋体" w:eastAsia="宋体"/>
          <w:color w:val="auto"/>
          <w:sz w:val="24"/>
          <w:highlight w:val="none"/>
        </w:rPr>
        <w:t>16</w:t>
      </w:r>
      <w:r>
        <w:rPr>
          <w:rFonts w:hint="eastAsia" w:hAnsi="宋体" w:eastAsia="宋体"/>
          <w:color w:val="auto"/>
          <w:sz w:val="24"/>
          <w:highlight w:val="none"/>
        </w:rPr>
        <w:t>条意见，其中采纳</w:t>
      </w:r>
      <w:r>
        <w:rPr>
          <w:rFonts w:hAnsi="宋体" w:eastAsia="宋体"/>
          <w:color w:val="auto"/>
          <w:sz w:val="24"/>
          <w:highlight w:val="none"/>
        </w:rPr>
        <w:t>9</w:t>
      </w:r>
      <w:r>
        <w:rPr>
          <w:rFonts w:hint="eastAsia" w:hAnsi="宋体" w:eastAsia="宋体"/>
          <w:color w:val="auto"/>
          <w:sz w:val="24"/>
          <w:highlight w:val="none"/>
        </w:rPr>
        <w:t>条，未采纳</w:t>
      </w:r>
      <w:r>
        <w:rPr>
          <w:rFonts w:hAnsi="宋体" w:eastAsia="宋体"/>
          <w:color w:val="auto"/>
          <w:sz w:val="24"/>
          <w:highlight w:val="none"/>
        </w:rPr>
        <w:t>4</w:t>
      </w:r>
      <w:r>
        <w:rPr>
          <w:rFonts w:hint="eastAsia" w:hAnsi="宋体" w:eastAsia="宋体"/>
          <w:color w:val="auto"/>
          <w:sz w:val="24"/>
          <w:highlight w:val="none"/>
        </w:rPr>
        <w:t>条。</w:t>
      </w:r>
      <w:r>
        <w:rPr>
          <w:rFonts w:hint="eastAsia" w:hAnsi="宋体" w:eastAsia="宋体"/>
          <w:color w:val="auto"/>
          <w:sz w:val="24"/>
          <w:highlight w:val="none"/>
          <w:lang w:val="en-US" w:eastAsia="zh-CN"/>
        </w:rPr>
        <w:t>2022年11月修改形成征求意见稿。</w:t>
      </w:r>
      <w:bookmarkStart w:id="0" w:name="_GoBack"/>
      <w:bookmarkEnd w:id="0"/>
    </w:p>
    <w:tbl>
      <w:tblPr>
        <w:tblStyle w:val="6"/>
        <w:tblpPr w:leftFromText="180" w:rightFromText="180" w:vertAnchor="text" w:horzAnchor="margin" w:tblpXSpec="center" w:tblpY="258"/>
        <w:tblOverlap w:val="never"/>
        <w:tblW w:w="0" w:type="auto"/>
        <w:tblInd w:w="0" w:type="dxa"/>
        <w:tblLayout w:type="fixed"/>
        <w:tblCellMar>
          <w:top w:w="0" w:type="dxa"/>
          <w:left w:w="108" w:type="dxa"/>
          <w:bottom w:w="0" w:type="dxa"/>
          <w:right w:w="108" w:type="dxa"/>
        </w:tblCellMar>
      </w:tblPr>
      <w:tblGrid>
        <w:gridCol w:w="682"/>
        <w:gridCol w:w="682"/>
        <w:gridCol w:w="4786"/>
        <w:gridCol w:w="2460"/>
        <w:gridCol w:w="950"/>
      </w:tblGrid>
      <w:tr>
        <w:tblPrEx>
          <w:tblCellMar>
            <w:top w:w="0" w:type="dxa"/>
            <w:left w:w="108" w:type="dxa"/>
            <w:bottom w:w="0" w:type="dxa"/>
            <w:right w:w="108" w:type="dxa"/>
          </w:tblCellMar>
        </w:tblPrEx>
        <w:trPr>
          <w:trHeight w:val="422" w:hRule="atLeast"/>
        </w:trPr>
        <w:tc>
          <w:tcPr>
            <w:tcW w:w="95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专家意见汇总表</w:t>
            </w:r>
          </w:p>
        </w:tc>
      </w:tr>
      <w:tr>
        <w:tblPrEx>
          <w:tblCellMar>
            <w:top w:w="0" w:type="dxa"/>
            <w:left w:w="108" w:type="dxa"/>
            <w:bottom w:w="0" w:type="dxa"/>
            <w:right w:w="108" w:type="dxa"/>
          </w:tblCellMar>
        </w:tblPrEx>
        <w:trPr>
          <w:trHeight w:val="62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专家</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专家意见</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是否采纳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CellMar>
            <w:top w:w="0" w:type="dxa"/>
            <w:left w:w="108" w:type="dxa"/>
            <w:bottom w:w="0" w:type="dxa"/>
            <w:right w:w="108" w:type="dxa"/>
          </w:tblCellMar>
        </w:tblPrEx>
        <w:trPr>
          <w:trHeight w:val="147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A</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表1的Q</w:t>
            </w:r>
            <w:r>
              <w:rPr>
                <w:rFonts w:ascii="宋体" w:hAnsi="宋体" w:eastAsia="宋体"/>
                <w:color w:val="auto"/>
                <w:sz w:val="18"/>
                <w:szCs w:val="18"/>
                <w:highlight w:val="none"/>
              </w:rPr>
              <w:t>T700</w:t>
            </w:r>
            <w:r>
              <w:rPr>
                <w:rFonts w:hint="eastAsia" w:ascii="宋体" w:hAnsi="宋体" w:eastAsia="宋体"/>
                <w:color w:val="auto"/>
                <w:sz w:val="18"/>
                <w:szCs w:val="18"/>
                <w:highlight w:val="none"/>
              </w:rPr>
              <w:t>-</w:t>
            </w:r>
            <w:r>
              <w:rPr>
                <w:rFonts w:ascii="宋体" w:hAnsi="宋体" w:eastAsia="宋体"/>
                <w:color w:val="auto"/>
                <w:sz w:val="18"/>
                <w:szCs w:val="18"/>
                <w:highlight w:val="none"/>
              </w:rPr>
              <w:t>10</w:t>
            </w:r>
            <w:r>
              <w:rPr>
                <w:rFonts w:hint="eastAsia" w:ascii="宋体" w:hAnsi="宋体" w:eastAsia="宋体"/>
                <w:color w:val="auto"/>
                <w:sz w:val="18"/>
                <w:szCs w:val="18"/>
                <w:highlight w:val="none"/>
              </w:rPr>
              <w:t>牌号延伸率定为8—12不科学，因为规定都是最小值(min)，只能定一个数值,不能定范围，要么是8，要么是10。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采纳。增加Q</w:t>
            </w:r>
            <w:r>
              <w:rPr>
                <w:rFonts w:ascii="宋体" w:hAnsi="宋体" w:eastAsia="宋体"/>
                <w:color w:val="auto"/>
                <w:sz w:val="18"/>
                <w:szCs w:val="18"/>
                <w:highlight w:val="none"/>
              </w:rPr>
              <w:t>T700-10和</w:t>
            </w:r>
            <w:r>
              <w:rPr>
                <w:rFonts w:hint="eastAsia" w:ascii="宋体" w:hAnsi="宋体" w:eastAsia="宋体"/>
                <w:color w:val="auto"/>
                <w:sz w:val="18"/>
                <w:szCs w:val="18"/>
                <w:highlight w:val="none"/>
              </w:rPr>
              <w:t>Q</w:t>
            </w:r>
            <w:r>
              <w:rPr>
                <w:rFonts w:ascii="宋体" w:hAnsi="宋体" w:eastAsia="宋体"/>
                <w:color w:val="auto"/>
                <w:sz w:val="18"/>
                <w:szCs w:val="18"/>
                <w:highlight w:val="none"/>
              </w:rPr>
              <w:t>T700-8材料牌号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50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spacing w:before="156" w:after="156" w:line="34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7.3 基体组织</w:t>
            </w:r>
          </w:p>
          <w:p>
            <w:pPr>
              <w:pStyle w:val="12"/>
              <w:ind w:firstLine="360"/>
              <w:jc w:val="center"/>
              <w:rPr>
                <w:rFonts w:hAnsi="宋体" w:cs="宋体"/>
                <w:color w:val="auto"/>
                <w:sz w:val="18"/>
                <w:szCs w:val="18"/>
                <w:highlight w:val="none"/>
              </w:rPr>
            </w:pPr>
            <w:r>
              <w:rPr>
                <w:rFonts w:hint="eastAsia" w:hAnsi="宋体" w:cs="宋体"/>
                <w:color w:val="auto"/>
                <w:sz w:val="18"/>
                <w:szCs w:val="18"/>
                <w:highlight w:val="none"/>
              </w:rPr>
              <w:t>高强度高塑性球墨铸铁的基体组织应以珠光体为主。</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xml:space="preserve">须同“6 </w:t>
            </w:r>
            <w:r>
              <w:rPr>
                <w:rFonts w:hint="eastAsia" w:ascii="宋体" w:hAnsi="宋体" w:eastAsia="宋体" w:cs="宋体"/>
                <w:color w:val="auto"/>
                <w:sz w:val="18"/>
                <w:szCs w:val="18"/>
                <w:highlight w:val="none"/>
              </w:rPr>
              <w:t>生产方法和化学成分”及GB/T1348 中的表述一样，增加“珠光体含量要求由供方确定，如果需方有其它特殊要求时，由供需双方商定。”</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不采纳。5种不同牌号，不同工艺，珠光体范围差异较大</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80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360"/>
              <w:jc w:val="center"/>
              <w:rPr>
                <w:rFonts w:hAnsi="宋体" w:cs="宋体"/>
                <w:color w:val="auto"/>
                <w:sz w:val="18"/>
                <w:szCs w:val="18"/>
                <w:highlight w:val="none"/>
              </w:rPr>
            </w:pPr>
            <w:r>
              <w:rPr>
                <w:rFonts w:hint="eastAsia" w:hAnsi="宋体" w:cs="宋体"/>
                <w:color w:val="auto"/>
                <w:sz w:val="18"/>
                <w:szCs w:val="18"/>
                <w:highlight w:val="none"/>
              </w:rPr>
              <w:t>现有文本“本文件规定了高强度高塑性球墨铸铁件的术语和定义、牌号、技术要求、取样和试样、试验方法、检验规则及铸件标志、包装和储运要求。”</w:t>
            </w:r>
          </w:p>
          <w:p>
            <w:pPr>
              <w:pStyle w:val="12"/>
              <w:ind w:firstLine="360"/>
              <w:jc w:val="center"/>
              <w:rPr>
                <w:rFonts w:hAnsi="宋体" w:cs="宋体"/>
                <w:color w:val="auto"/>
                <w:sz w:val="18"/>
                <w:szCs w:val="18"/>
                <w:highlight w:val="none"/>
              </w:rPr>
            </w:pPr>
            <w:r>
              <w:rPr>
                <w:rFonts w:hint="eastAsia" w:hAnsi="宋体" w:cs="宋体"/>
                <w:color w:val="auto"/>
                <w:sz w:val="18"/>
                <w:szCs w:val="18"/>
                <w:highlight w:val="none"/>
              </w:rPr>
              <w:t>建议和目录中的项目内容保持一致。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32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“GB/T 223.3  钢铁及合金化学分析方法  二安替比林甲烷磷</w:t>
            </w:r>
            <w:r>
              <w:rPr>
                <w:rFonts w:hint="eastAsia" w:hAnsi="宋体" w:cs="宋体"/>
                <w:color w:val="auto"/>
                <w:sz w:val="18"/>
                <w:szCs w:val="18"/>
                <w:highlight w:val="none"/>
              </w:rPr>
              <w:t>钥</w:t>
            </w:r>
            <w:r>
              <w:rPr>
                <w:rFonts w:hint="eastAsia" w:hAnsi="宋体" w:cs="宋体"/>
                <w:color w:val="auto"/>
                <w:sz w:val="18"/>
                <w:szCs w:val="18"/>
                <w:highlight w:val="none"/>
              </w:rPr>
              <w:t>酸重量法测定磷量”</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错别字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8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GB/T 223.58  钢铁及合金化学分析方法  亚</w:t>
            </w:r>
            <w:r>
              <w:rPr>
                <w:rFonts w:hint="eastAsia" w:hAnsi="宋体" w:cs="宋体"/>
                <w:color w:val="auto"/>
                <w:sz w:val="18"/>
                <w:szCs w:val="18"/>
                <w:highlight w:val="none"/>
              </w:rPr>
              <w:t>碑</w:t>
            </w:r>
            <w:r>
              <w:rPr>
                <w:rFonts w:hint="eastAsia" w:hAnsi="宋体" w:cs="宋体"/>
                <w:color w:val="auto"/>
                <w:sz w:val="18"/>
                <w:szCs w:val="18"/>
                <w:highlight w:val="none"/>
              </w:rPr>
              <w:t>酸钠-亚硝酸钠滴定法测定锰量</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错别字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60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6</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GB/T 223.69   钢铁及合金  碳含量的测定  管式炉内燃烧后气体容量法</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需要考虑是否替换或添加“GB/T 223.71  钢铁及合金化学分析方法 管式炉内燃烧后重量法测定碳含量”</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不采纳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99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GB/T 228   金属材料  室温拉伸试验方法（eqvISO6892)</w:t>
            </w:r>
          </w:p>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GB/T 6414   铸件尺寸公差与机械加工余量（eqvISO8062)</w:t>
            </w:r>
          </w:p>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 ... ...</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需要整体核对、规范一下标准文本的名称</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52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numPr>
                <w:ilvl w:val="0"/>
                <w:numId w:val="0"/>
              </w:numPr>
              <w:spacing w:line="340" w:lineRule="exact"/>
              <w:ind w:left="426"/>
              <w:jc w:val="center"/>
              <w:rPr>
                <w:rFonts w:hAnsi="宋体" w:cs="宋体"/>
                <w:color w:val="auto"/>
                <w:sz w:val="18"/>
                <w:szCs w:val="18"/>
                <w:highlight w:val="none"/>
              </w:rPr>
            </w:pPr>
            <w:r>
              <w:rPr>
                <w:rFonts w:hint="eastAsia" w:hAnsi="宋体" w:cs="宋体"/>
                <w:color w:val="auto"/>
                <w:sz w:val="18"/>
                <w:szCs w:val="18"/>
                <w:highlight w:val="none"/>
              </w:rPr>
              <w:t>订货时应明确下列信息：</w:t>
            </w:r>
          </w:p>
          <w:p>
            <w:pPr>
              <w:pStyle w:val="14"/>
              <w:numPr>
                <w:ilvl w:val="0"/>
                <w:numId w:val="0"/>
              </w:numPr>
              <w:spacing w:line="340" w:lineRule="exact"/>
              <w:ind w:left="426"/>
              <w:jc w:val="center"/>
              <w:rPr>
                <w:rFonts w:hAnsi="宋体" w:cs="宋体"/>
                <w:color w:val="auto"/>
                <w:sz w:val="18"/>
                <w:szCs w:val="18"/>
                <w:highlight w:val="none"/>
              </w:rPr>
            </w:pPr>
            <w:r>
              <w:rPr>
                <w:rFonts w:hint="eastAsia" w:hAnsi="宋体" w:cs="宋体"/>
                <w:color w:val="auto"/>
                <w:sz w:val="18"/>
                <w:szCs w:val="18"/>
                <w:highlight w:val="none"/>
              </w:rPr>
              <w:t>a)铸件材质牌号。</w:t>
            </w:r>
          </w:p>
          <w:p>
            <w:pPr>
              <w:pStyle w:val="14"/>
              <w:numPr>
                <w:ilvl w:val="0"/>
                <w:numId w:val="0"/>
              </w:numPr>
              <w:spacing w:line="340" w:lineRule="exact"/>
              <w:ind w:left="426"/>
              <w:jc w:val="center"/>
              <w:rPr>
                <w:rFonts w:hAnsi="宋体" w:cs="宋体"/>
                <w:color w:val="auto"/>
                <w:sz w:val="18"/>
                <w:szCs w:val="18"/>
                <w:highlight w:val="none"/>
              </w:rPr>
            </w:pPr>
            <w:r>
              <w:rPr>
                <w:rFonts w:hint="eastAsia" w:hAnsi="宋体" w:cs="宋体"/>
                <w:color w:val="auto"/>
                <w:sz w:val="18"/>
                <w:szCs w:val="18"/>
                <w:highlight w:val="none"/>
              </w:rPr>
              <w:t>b)铸件主要壁厚。</w:t>
            </w:r>
          </w:p>
          <w:p>
            <w:pPr>
              <w:pStyle w:val="14"/>
              <w:numPr>
                <w:ilvl w:val="0"/>
                <w:numId w:val="0"/>
              </w:numPr>
              <w:spacing w:before="0" w:after="0" w:line="340" w:lineRule="exact"/>
              <w:ind w:firstLine="360" w:firstLineChars="200"/>
              <w:jc w:val="center"/>
              <w:rPr>
                <w:rFonts w:hAnsi="宋体" w:cs="宋体"/>
                <w:color w:val="auto"/>
                <w:sz w:val="18"/>
                <w:szCs w:val="18"/>
                <w:highlight w:val="none"/>
              </w:rPr>
            </w:pPr>
            <w:r>
              <w:rPr>
                <w:rFonts w:hint="eastAsia" w:hAnsi="宋体" w:cs="宋体"/>
                <w:color w:val="auto"/>
                <w:sz w:val="18"/>
                <w:szCs w:val="18"/>
                <w:highlight w:val="none"/>
              </w:rPr>
              <w:t>c)铸件其他特殊要求</w:t>
            </w:r>
          </w:p>
          <w:p>
            <w:pPr>
              <w:pStyle w:val="12"/>
              <w:spacing w:line="340" w:lineRule="exact"/>
              <w:ind w:firstLine="360"/>
              <w:jc w:val="center"/>
              <w:rPr>
                <w:rFonts w:hAnsi="宋体" w:cs="宋体"/>
                <w:color w:val="auto"/>
                <w:sz w:val="18"/>
                <w:szCs w:val="18"/>
                <w:highlight w:val="none"/>
              </w:rPr>
            </w:pPr>
            <w:r>
              <w:rPr>
                <w:rFonts w:hint="eastAsia" w:hAnsi="宋体" w:cs="宋体"/>
                <w:color w:val="auto"/>
                <w:sz w:val="18"/>
                <w:szCs w:val="18"/>
                <w:highlight w:val="none"/>
              </w:rPr>
              <w:t>材质牌号和材料牌号是否有一些概念上的区别？第7.1.1条表述为“材料的牌号”</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建议和GB/T 1348中表述一致</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trike/>
                <w:color w:val="auto"/>
                <w:sz w:val="22"/>
                <w:szCs w:val="22"/>
                <w:highlight w:val="none"/>
              </w:rPr>
            </w:pPr>
          </w:p>
        </w:tc>
      </w:tr>
      <w:tr>
        <w:tblPrEx>
          <w:tblCellMar>
            <w:top w:w="0" w:type="dxa"/>
            <w:left w:w="108" w:type="dxa"/>
            <w:bottom w:w="0" w:type="dxa"/>
            <w:right w:w="108" w:type="dxa"/>
          </w:tblCellMar>
        </w:tblPrEx>
        <w:trPr>
          <w:trHeight w:val="147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spacing w:before="156" w:beforeLines="50" w:after="156" w:afterLines="50" w:line="240" w:lineRule="exact"/>
              <w:jc w:val="center"/>
              <w:outlineLvl w:val="9"/>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表1  单铸、并排或附铸试块的</w:t>
            </w:r>
            <w:r>
              <w:rPr>
                <w:rFonts w:hint="eastAsia" w:ascii="宋体" w:hAnsi="宋体" w:eastAsia="宋体" w:cs="宋体"/>
                <w:color w:val="auto"/>
                <w:sz w:val="18"/>
                <w:szCs w:val="18"/>
                <w:highlight w:val="none"/>
              </w:rPr>
              <w:t>力学性能</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力学性能应该包含拉伸性能、冲击性能等，此处建议和GB/T 1348中表述一致，改为拉伸性能</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127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w:t>
            </w:r>
            <w:r>
              <w:rPr>
                <w:rFonts w:ascii="宋体" w:hAnsi="宋体" w:eastAsia="宋体"/>
                <w:color w:val="auto"/>
                <w:sz w:val="18"/>
                <w:szCs w:val="18"/>
                <w:highlight w:val="none"/>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before="156" w:after="156" w:line="34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7.2 石墨组织</w:t>
            </w:r>
          </w:p>
          <w:p>
            <w:pPr>
              <w:pStyle w:val="12"/>
              <w:ind w:firstLine="360"/>
              <w:jc w:val="center"/>
              <w:rPr>
                <w:rFonts w:hAnsi="宋体" w:cs="宋体"/>
                <w:color w:val="auto"/>
                <w:sz w:val="18"/>
                <w:szCs w:val="18"/>
                <w:highlight w:val="none"/>
              </w:rPr>
            </w:pPr>
            <w:r>
              <w:rPr>
                <w:rFonts w:hint="eastAsia" w:hAnsi="宋体" w:cs="宋体"/>
                <w:color w:val="auto"/>
                <w:sz w:val="18"/>
                <w:szCs w:val="18"/>
                <w:highlight w:val="none"/>
              </w:rPr>
              <w:t>建议改为“石墨形态”</w:t>
            </w:r>
          </w:p>
          <w:p>
            <w:pPr>
              <w:spacing w:line="200" w:lineRule="atLeast"/>
              <w:jc w:val="center"/>
              <w:rPr>
                <w:rFonts w:ascii="宋体" w:hAnsi="宋体" w:eastAsia="宋体" w:cs="宋体"/>
                <w:color w:val="auto"/>
                <w:sz w:val="18"/>
                <w:szCs w:val="18"/>
                <w:highlight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05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w:t>
            </w:r>
            <w:r>
              <w:rPr>
                <w:rFonts w:ascii="宋体" w:hAnsi="宋体" w:eastAsia="宋体"/>
                <w:color w:val="auto"/>
                <w:sz w:val="18"/>
                <w:szCs w:val="18"/>
                <w:highlight w:val="none"/>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B</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before="156" w:after="156" w:line="34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7.6 铸件的表面质量</w:t>
            </w:r>
          </w:p>
          <w:p>
            <w:pPr>
              <w:spacing w:line="200" w:lineRule="atLeast"/>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相关的一些表述用词，如：多肉、</w:t>
            </w:r>
            <w:r>
              <w:rPr>
                <w:rFonts w:hint="eastAsia" w:ascii="宋体" w:hAnsi="宋体" w:eastAsia="宋体" w:cs="宋体"/>
                <w:color w:val="auto"/>
                <w:sz w:val="18"/>
                <w:szCs w:val="18"/>
                <w:highlight w:val="none"/>
              </w:rPr>
              <w:t>飞翅、毛刺、飞边、</w:t>
            </w:r>
            <w:r>
              <w:rPr>
                <w:rFonts w:hint="eastAsia" w:ascii="宋体" w:hAnsi="宋体" w:eastAsia="宋体" w:cs="宋体"/>
                <w:color w:val="auto"/>
                <w:kern w:val="0"/>
                <w:sz w:val="18"/>
                <w:szCs w:val="18"/>
                <w:highlight w:val="none"/>
              </w:rPr>
              <w:t>披缝（还是披锋？）等等，经常混淆使用，是否可以规范一下，至少在本标准中希望能考虑一下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05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12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表1的各项指标一般为强制标准，而硬度是参考指标，建议分开</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rPr>
                <w:rFonts w:ascii="宋体" w:hAnsi="宋体" w:eastAsia="宋体"/>
                <w:color w:val="auto"/>
                <w:sz w:val="18"/>
                <w:szCs w:val="18"/>
                <w:highlight w:val="none"/>
              </w:rPr>
            </w:pPr>
            <w:r>
              <w:rPr>
                <w:rFonts w:ascii="宋体" w:hAnsi="宋体" w:eastAsia="宋体"/>
                <w:color w:val="auto"/>
                <w:sz w:val="18"/>
                <w:szCs w:val="18"/>
                <w:highlight w:val="none"/>
              </w:rPr>
              <w:t>采纳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05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13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表1是根据试块测试而来，并不能真实反映本体的力学性能。</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不采纳。已经说明是单铸、并排或附铸试样的拉伸性能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05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14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olor w:val="auto"/>
                <w:sz w:val="18"/>
                <w:szCs w:val="18"/>
                <w:highlight w:val="none"/>
              </w:rPr>
            </w:pPr>
            <w:r>
              <w:rPr>
                <w:rFonts w:hint="eastAsia" w:ascii="宋体" w:hAnsi="宋体" w:eastAsia="宋体"/>
                <w:color w:val="auto"/>
                <w:sz w:val="18"/>
                <w:szCs w:val="18"/>
                <w:highlight w:val="none"/>
              </w:rPr>
              <w:t>4</w:t>
            </w:r>
            <w:r>
              <w:rPr>
                <w:rFonts w:ascii="宋体" w:hAnsi="宋体" w:eastAsia="宋体"/>
                <w:color w:val="auto"/>
                <w:sz w:val="18"/>
                <w:szCs w:val="18"/>
                <w:highlight w:val="none"/>
              </w:rPr>
              <w:t>.11/4.12—</w:t>
            </w:r>
            <w:r>
              <w:rPr>
                <w:rFonts w:hint="eastAsia" w:ascii="宋体" w:hAnsi="宋体" w:eastAsia="宋体"/>
                <w:color w:val="auto"/>
                <w:sz w:val="18"/>
                <w:szCs w:val="18"/>
                <w:highlight w:val="none"/>
              </w:rPr>
              <w:t>群中讨论内容</w:t>
            </w:r>
            <w:r>
              <w:rPr>
                <w:rFonts w:hint="eastAsia" w:ascii="宋体" w:hAnsi="宋体" w:eastAsia="宋体"/>
                <w:color w:val="auto"/>
                <w:sz w:val="18"/>
                <w:szCs w:val="18"/>
                <w:highlight w:val="none"/>
              </w:rPr>
              <w:t>：针对Q</w:t>
            </w:r>
            <w:r>
              <w:rPr>
                <w:rFonts w:ascii="宋体" w:hAnsi="宋体" w:eastAsia="宋体"/>
                <w:color w:val="auto"/>
                <w:sz w:val="18"/>
                <w:szCs w:val="18"/>
                <w:highlight w:val="none"/>
              </w:rPr>
              <w:t>T700</w:t>
            </w:r>
            <w:r>
              <w:rPr>
                <w:rFonts w:hint="eastAsia" w:ascii="宋体" w:hAnsi="宋体" w:eastAsia="宋体"/>
                <w:color w:val="auto"/>
                <w:sz w:val="18"/>
                <w:szCs w:val="18"/>
                <w:highlight w:val="none"/>
              </w:rPr>
              <w:t>延伸率问题</w:t>
            </w:r>
          </w:p>
          <w:p>
            <w:pPr>
              <w:spacing w:line="200" w:lineRule="atLeast"/>
              <w:jc w:val="center"/>
              <w:rPr>
                <w:rFonts w:ascii="宋体" w:hAnsi="宋体" w:eastAsia="宋体"/>
                <w:color w:val="auto"/>
                <w:sz w:val="18"/>
                <w:szCs w:val="18"/>
                <w:highlight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采纳。增加Q</w:t>
            </w:r>
            <w:r>
              <w:rPr>
                <w:rFonts w:ascii="宋体" w:hAnsi="宋体" w:eastAsia="宋体"/>
                <w:color w:val="auto"/>
                <w:sz w:val="18"/>
                <w:szCs w:val="18"/>
                <w:highlight w:val="none"/>
              </w:rPr>
              <w:t>T700-10和</w:t>
            </w:r>
            <w:r>
              <w:rPr>
                <w:rFonts w:hint="eastAsia" w:ascii="宋体" w:hAnsi="宋体" w:eastAsia="宋体"/>
                <w:color w:val="auto"/>
                <w:sz w:val="18"/>
                <w:szCs w:val="18"/>
                <w:highlight w:val="none"/>
              </w:rPr>
              <w:t>Q</w:t>
            </w:r>
            <w:r>
              <w:rPr>
                <w:rFonts w:ascii="宋体" w:hAnsi="宋体" w:eastAsia="宋体"/>
                <w:color w:val="auto"/>
                <w:sz w:val="18"/>
                <w:szCs w:val="18"/>
                <w:highlight w:val="none"/>
              </w:rPr>
              <w:t>T700-8材料牌号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5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olor w:val="auto"/>
                <w:sz w:val="18"/>
                <w:szCs w:val="18"/>
                <w:highlight w:val="none"/>
              </w:rPr>
            </w:pPr>
            <w:r>
              <w:rPr>
                <w:rFonts w:hint="eastAsia" w:ascii="宋体" w:hAnsi="宋体" w:eastAsia="宋体"/>
                <w:color w:val="auto"/>
                <w:sz w:val="18"/>
                <w:szCs w:val="18"/>
                <w:highlight w:val="none"/>
              </w:rPr>
              <w:t>4</w:t>
            </w:r>
            <w:r>
              <w:rPr>
                <w:rFonts w:ascii="宋体" w:hAnsi="宋体" w:eastAsia="宋体"/>
                <w:color w:val="auto"/>
                <w:sz w:val="18"/>
                <w:szCs w:val="18"/>
                <w:highlight w:val="none"/>
              </w:rPr>
              <w:t>.15</w:t>
            </w:r>
            <w:r>
              <w:rPr>
                <w:rFonts w:hint="eastAsia" w:ascii="宋体" w:hAnsi="宋体" w:eastAsia="宋体"/>
                <w:color w:val="auto"/>
                <w:sz w:val="18"/>
                <w:szCs w:val="18"/>
                <w:highlight w:val="none"/>
              </w:rPr>
              <w:t>群中讨论内容</w:t>
            </w:r>
            <w:r>
              <w:rPr>
                <w:rFonts w:hint="eastAsia" w:ascii="宋体" w:hAnsi="宋体" w:eastAsia="宋体"/>
                <w:color w:val="auto"/>
                <w:sz w:val="18"/>
                <w:szCs w:val="18"/>
                <w:highlight w:val="none"/>
              </w:rPr>
              <w:t>：1</w:t>
            </w:r>
            <w:r>
              <w:rPr>
                <w:rFonts w:ascii="宋体" w:hAnsi="宋体" w:eastAsia="宋体"/>
                <w:color w:val="auto"/>
                <w:sz w:val="18"/>
                <w:szCs w:val="18"/>
                <w:highlight w:val="none"/>
              </w:rPr>
              <w:t>.</w:t>
            </w:r>
            <w:r>
              <w:rPr>
                <w:rFonts w:hint="eastAsia" w:ascii="宋体" w:hAnsi="宋体" w:eastAsia="宋体"/>
                <w:color w:val="auto"/>
                <w:sz w:val="18"/>
                <w:szCs w:val="18"/>
                <w:highlight w:val="none"/>
              </w:rPr>
              <w:t>针对</w:t>
            </w:r>
            <w:r>
              <w:rPr>
                <w:rFonts w:ascii="宋体" w:hAnsi="宋体" w:eastAsia="宋体"/>
                <w:color w:val="auto"/>
                <w:sz w:val="18"/>
                <w:szCs w:val="18"/>
                <w:highlight w:val="none"/>
              </w:rPr>
              <w:t>高强度高塑性球墨铸铁，定义描述问题</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采纳。改为“以细片状珠光体为主要基体、兼有高强度和高塑性的球墨铸铁，其抗拉强度≥ 700</w:t>
            </w:r>
            <w:r>
              <w:rPr>
                <w:rFonts w:ascii="宋体" w:hAnsi="宋体" w:eastAsia="宋体"/>
                <w:color w:val="auto"/>
                <w:sz w:val="18"/>
                <w:szCs w:val="18"/>
                <w:highlight w:val="none"/>
              </w:rPr>
              <w:t xml:space="preserve"> </w:t>
            </w:r>
            <w:r>
              <w:rPr>
                <w:rFonts w:hint="eastAsia" w:ascii="宋体" w:hAnsi="宋体" w:eastAsia="宋体"/>
                <w:color w:val="auto"/>
                <w:sz w:val="18"/>
                <w:szCs w:val="18"/>
                <w:highlight w:val="none"/>
              </w:rPr>
              <w:t>Mpa，且伸长率≥ 5</w:t>
            </w:r>
            <w:r>
              <w:rPr>
                <w:rFonts w:ascii="宋体" w:hAnsi="宋体" w:eastAsia="宋体"/>
                <w:color w:val="auto"/>
                <w:sz w:val="18"/>
                <w:szCs w:val="18"/>
                <w:highlight w:val="none"/>
              </w:rPr>
              <w:t xml:space="preserve"> </w:t>
            </w:r>
            <w:r>
              <w:rPr>
                <w:rFonts w:hint="eastAsia" w:ascii="宋体" w:hAnsi="宋体" w:eastAsia="宋体"/>
                <w:color w:val="auto"/>
                <w:sz w:val="18"/>
                <w:szCs w:val="18"/>
                <w:highlight w:val="none"/>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106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atLeast"/>
              <w:jc w:val="center"/>
              <w:rPr>
                <w:rFonts w:ascii="宋体" w:hAnsi="宋体" w:eastAsia="宋体"/>
                <w:color w:val="auto"/>
                <w:sz w:val="18"/>
                <w:szCs w:val="18"/>
                <w:highlight w:val="none"/>
              </w:rPr>
            </w:pPr>
            <w:r>
              <w:rPr>
                <w:rFonts w:ascii="宋体" w:hAnsi="宋体" w:eastAsia="宋体"/>
                <w:color w:val="auto"/>
                <w:sz w:val="18"/>
                <w:szCs w:val="18"/>
                <w:highlight w:val="none"/>
              </w:rPr>
              <w:t>16</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highlight w:val="none"/>
                <w:lang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olor w:val="auto"/>
                <w:sz w:val="18"/>
                <w:szCs w:val="18"/>
                <w:highlight w:val="none"/>
              </w:rPr>
            </w:pPr>
            <w:r>
              <w:rPr>
                <w:rFonts w:hint="eastAsia" w:ascii="宋体" w:hAnsi="宋体" w:eastAsia="宋体"/>
                <w:color w:val="auto"/>
                <w:sz w:val="18"/>
                <w:szCs w:val="18"/>
                <w:highlight w:val="none"/>
              </w:rPr>
              <w:t>4</w:t>
            </w:r>
            <w:r>
              <w:rPr>
                <w:rFonts w:ascii="宋体" w:hAnsi="宋体" w:eastAsia="宋体"/>
                <w:color w:val="auto"/>
                <w:sz w:val="18"/>
                <w:szCs w:val="18"/>
                <w:highlight w:val="none"/>
              </w:rPr>
              <w:t>.15</w:t>
            </w:r>
            <w:r>
              <w:rPr>
                <w:rFonts w:hint="eastAsia" w:ascii="宋体" w:hAnsi="宋体" w:eastAsia="宋体"/>
                <w:color w:val="auto"/>
                <w:sz w:val="18"/>
                <w:szCs w:val="18"/>
                <w:highlight w:val="none"/>
              </w:rPr>
              <w:t>群中讨论内容</w:t>
            </w:r>
            <w:r>
              <w:rPr>
                <w:rFonts w:hint="eastAsia" w:ascii="宋体" w:hAnsi="宋体" w:eastAsia="宋体"/>
                <w:color w:val="auto"/>
                <w:sz w:val="18"/>
                <w:szCs w:val="18"/>
                <w:highlight w:val="none"/>
              </w:rPr>
              <w:t>：2</w:t>
            </w:r>
            <w:r>
              <w:rPr>
                <w:rFonts w:ascii="宋体" w:hAnsi="宋体" w:eastAsia="宋体"/>
                <w:color w:val="auto"/>
                <w:sz w:val="18"/>
                <w:szCs w:val="18"/>
                <w:highlight w:val="none"/>
              </w:rPr>
              <w:t>.</w:t>
            </w:r>
            <w:r>
              <w:rPr>
                <w:rFonts w:hint="eastAsia" w:ascii="宋体" w:hAnsi="宋体" w:eastAsia="宋体"/>
                <w:color w:val="auto"/>
                <w:sz w:val="18"/>
                <w:szCs w:val="18"/>
                <w:highlight w:val="none"/>
              </w:rPr>
              <w:t>针对</w:t>
            </w:r>
            <w:r>
              <w:rPr>
                <w:rFonts w:ascii="宋体" w:hAnsi="宋体" w:eastAsia="宋体"/>
                <w:color w:val="auto"/>
                <w:sz w:val="18"/>
                <w:szCs w:val="18"/>
                <w:highlight w:val="none"/>
              </w:rPr>
              <w:t>高</w:t>
            </w:r>
            <w:r>
              <w:rPr>
                <w:rFonts w:hint="eastAsia" w:ascii="宋体" w:hAnsi="宋体" w:eastAsia="宋体"/>
                <w:color w:val="auto"/>
                <w:sz w:val="18"/>
                <w:szCs w:val="18"/>
                <w:highlight w:val="none"/>
              </w:rPr>
              <w:t>石墨</w:t>
            </w:r>
            <w:r>
              <w:rPr>
                <w:rFonts w:ascii="宋体" w:hAnsi="宋体" w:eastAsia="宋体"/>
                <w:color w:val="auto"/>
                <w:sz w:val="18"/>
                <w:szCs w:val="18"/>
                <w:highlight w:val="none"/>
              </w:rPr>
              <w:t>组织和珠光体，定义描述问题</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atLeast"/>
              <w:jc w:val="left"/>
              <w:rPr>
                <w:rFonts w:ascii="宋体" w:hAnsi="宋体" w:eastAsia="宋体"/>
                <w:color w:val="auto"/>
                <w:sz w:val="18"/>
                <w:szCs w:val="18"/>
                <w:highlight w:val="none"/>
              </w:rPr>
            </w:pPr>
            <w:r>
              <w:rPr>
                <w:rFonts w:hint="eastAsia" w:ascii="宋体" w:hAnsi="宋体" w:eastAsia="宋体"/>
                <w:color w:val="auto"/>
                <w:sz w:val="18"/>
                <w:szCs w:val="18"/>
                <w:highlight w:val="none"/>
              </w:rPr>
              <w:t>不采纳。5种不同牌号，不同工艺，珠光体范围差异较大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kern w:val="0"/>
                <w:sz w:val="22"/>
                <w:szCs w:val="22"/>
                <w:highlight w:val="none"/>
                <w:lang w:bidi="ar"/>
              </w:rPr>
            </w:pPr>
          </w:p>
        </w:tc>
      </w:tr>
    </w:tbl>
    <w:p>
      <w:pPr>
        <w:spacing w:before="156" w:beforeLines="50" w:after="156" w:afterLines="50" w:line="440" w:lineRule="exact"/>
        <w:ind w:firstLine="480" w:firstLineChars="200"/>
        <w:outlineLvl w:val="0"/>
        <w:rPr>
          <w:rFonts w:ascii="宋体" w:hAnsi="宋体" w:eastAsia="宋体"/>
          <w:color w:val="auto"/>
          <w:sz w:val="24"/>
          <w:highlight w:val="none"/>
        </w:rPr>
      </w:pPr>
    </w:p>
    <w:p>
      <w:pPr>
        <w:numPr>
          <w:ilvl w:val="0"/>
          <w:numId w:val="3"/>
        </w:numPr>
        <w:spacing w:before="156" w:beforeLines="50" w:after="156" w:afterLines="50" w:line="440" w:lineRule="exact"/>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送审阶段（应描述清楚审查会的情况和必要时的函审情况）</w:t>
      </w:r>
      <w:r>
        <w:rPr>
          <w:rFonts w:ascii="黑体" w:hAnsi="黑体" w:eastAsia="黑体"/>
          <w:color w:val="auto"/>
          <w:sz w:val="24"/>
          <w:szCs w:val="24"/>
          <w:highlight w:val="none"/>
        </w:rPr>
        <w:t>：</w:t>
      </w:r>
    </w:p>
    <w:p>
      <w:pPr>
        <w:spacing w:before="156" w:beforeLines="50" w:after="156" w:afterLines="50" w:line="440" w:lineRule="exact"/>
        <w:rPr>
          <w:rFonts w:ascii="黑体" w:hAnsi="黑体" w:eastAsia="黑体"/>
          <w:color w:val="auto"/>
          <w:sz w:val="24"/>
          <w:szCs w:val="24"/>
          <w:highlight w:val="none"/>
        </w:rPr>
      </w:pPr>
    </w:p>
    <w:p>
      <w:pPr>
        <w:spacing w:before="156" w:beforeLines="50" w:after="156" w:afterLines="50" w:line="440" w:lineRule="exact"/>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（4）报批阶段</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ascii="黑体" w:hAnsi="黑体" w:eastAsia="黑体"/>
          <w:color w:val="auto"/>
          <w:sz w:val="24"/>
          <w:szCs w:val="24"/>
          <w:highlight w:val="none"/>
        </w:rPr>
        <w:t>3</w:t>
      </w:r>
      <w:r>
        <w:rPr>
          <w:rFonts w:hint="eastAsia" w:ascii="黑体" w:hAnsi="黑体" w:eastAsia="黑体"/>
          <w:color w:val="auto"/>
          <w:sz w:val="24"/>
          <w:szCs w:val="24"/>
          <w:highlight w:val="none"/>
        </w:rPr>
        <w:t>）主要参加单位和工作组成员及其所做的工作</w:t>
      </w:r>
    </w:p>
    <w:p>
      <w:pPr>
        <w:spacing w:before="156" w:beforeLines="50" w:after="156" w:afterLines="50" w:line="440" w:lineRule="exact"/>
        <w:ind w:firstLine="480" w:firstLineChars="200"/>
        <w:outlineLvl w:val="0"/>
        <w:rPr>
          <w:rFonts w:hint="eastAsia" w:hAnsi="宋体" w:eastAsia="宋体"/>
          <w:color w:val="auto"/>
          <w:sz w:val="24"/>
          <w:highlight w:val="none"/>
        </w:rPr>
      </w:pPr>
      <w:r>
        <w:rPr>
          <w:rFonts w:hint="eastAsia" w:hAnsi="宋体" w:eastAsia="宋体"/>
          <w:color w:val="auto"/>
          <w:sz w:val="24"/>
          <w:highlight w:val="none"/>
        </w:rPr>
        <w:t>本标准由</w:t>
      </w:r>
      <w:r>
        <w:rPr>
          <w:rFonts w:hint="eastAsia" w:hAnsi="宋体" w:eastAsia="宋体"/>
          <w:color w:val="auto"/>
          <w:sz w:val="24"/>
          <w:highlight w:val="none"/>
          <w:lang w:val="en-US" w:eastAsia="zh-CN"/>
        </w:rPr>
        <w:t>1</w:t>
      </w:r>
      <w:r>
        <w:rPr>
          <w:rFonts w:hint="eastAsia" w:hAnsi="宋体" w:eastAsia="宋体"/>
          <w:color w:val="auto"/>
          <w:sz w:val="24"/>
          <w:highlight w:val="none"/>
        </w:rPr>
        <w:t>广西玉柴机器配件制造有限公司、</w:t>
      </w:r>
      <w:r>
        <w:rPr>
          <w:rFonts w:hint="eastAsia" w:hAnsi="宋体" w:eastAsia="宋体"/>
          <w:color w:val="auto"/>
          <w:sz w:val="24"/>
          <w:highlight w:val="none"/>
          <w:lang w:val="en-US" w:eastAsia="zh-CN"/>
        </w:rPr>
        <w:t>2</w:t>
      </w:r>
      <w:r>
        <w:rPr>
          <w:rFonts w:hint="eastAsia" w:hAnsi="宋体" w:eastAsia="宋体"/>
          <w:color w:val="auto"/>
          <w:sz w:val="24"/>
          <w:highlight w:val="none"/>
        </w:rPr>
        <w:t>芜湖久弘重工股份有限公司、</w:t>
      </w:r>
    </w:p>
    <w:p>
      <w:pPr>
        <w:spacing w:before="156" w:beforeLines="50" w:after="156" w:afterLines="50" w:line="440" w:lineRule="exact"/>
        <w:ind w:firstLine="480" w:firstLineChars="200"/>
        <w:outlineLvl w:val="0"/>
        <w:rPr>
          <w:rFonts w:hint="eastAsia" w:hAnsi="宋体" w:eastAsia="宋体"/>
          <w:color w:val="auto"/>
          <w:sz w:val="24"/>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芜湖新兴铸管有限责任公司、</w:t>
      </w:r>
      <w:r>
        <w:rPr>
          <w:rFonts w:hint="eastAsia" w:hAnsi="宋体" w:eastAsia="宋体"/>
          <w:color w:val="auto"/>
          <w:sz w:val="24"/>
          <w:highlight w:val="none"/>
          <w:lang w:val="en-US" w:eastAsia="zh-CN"/>
        </w:rPr>
        <w:t>4</w:t>
      </w:r>
      <w:r>
        <w:rPr>
          <w:rFonts w:hint="eastAsia" w:hAnsi="宋体" w:eastAsia="宋体"/>
          <w:color w:val="auto"/>
          <w:sz w:val="24"/>
          <w:highlight w:val="none"/>
        </w:rPr>
        <w:t>山西东鑫衡隆机械制造股份有限公司、</w:t>
      </w:r>
      <w:r>
        <w:rPr>
          <w:rFonts w:hint="eastAsia" w:hAnsi="宋体" w:eastAsia="宋体"/>
          <w:color w:val="auto"/>
          <w:sz w:val="24"/>
          <w:highlight w:val="none"/>
          <w:lang w:val="en-US" w:eastAsia="zh-CN"/>
        </w:rPr>
        <w:t>5</w:t>
      </w:r>
      <w:r>
        <w:rPr>
          <w:rFonts w:hint="eastAsia" w:hAnsi="宋体" w:eastAsia="宋体"/>
          <w:color w:val="auto"/>
          <w:sz w:val="24"/>
          <w:highlight w:val="none"/>
        </w:rPr>
        <w:t>湖北普尔精密科技有限公司、</w:t>
      </w:r>
      <w:r>
        <w:rPr>
          <w:rFonts w:hint="eastAsia" w:hAnsi="宋体" w:eastAsia="宋体"/>
          <w:color w:val="auto"/>
          <w:sz w:val="24"/>
          <w:highlight w:val="none"/>
          <w:lang w:val="en-US" w:eastAsia="zh-CN"/>
        </w:rPr>
        <w:t>6</w:t>
      </w:r>
      <w:r>
        <w:rPr>
          <w:rFonts w:hint="eastAsia" w:hAnsi="宋体" w:eastAsia="宋体"/>
          <w:color w:val="auto"/>
          <w:sz w:val="24"/>
          <w:highlight w:val="none"/>
        </w:rPr>
        <w:t>浙江省机电设计研究院有限公司</w:t>
      </w:r>
      <w:r>
        <w:rPr>
          <w:rFonts w:hint="eastAsia" w:hAnsi="宋体" w:eastAsia="宋体"/>
          <w:color w:val="auto"/>
          <w:sz w:val="24"/>
          <w:highlight w:val="none"/>
          <w:lang w:eastAsia="zh-CN"/>
        </w:rPr>
        <w:t>、</w:t>
      </w:r>
      <w:r>
        <w:rPr>
          <w:rFonts w:hint="eastAsia" w:hAnsi="宋体" w:eastAsia="宋体"/>
          <w:color w:val="auto"/>
          <w:sz w:val="24"/>
          <w:highlight w:val="none"/>
        </w:rPr>
        <w:t>广西</w:t>
      </w:r>
      <w:r>
        <w:rPr>
          <w:rFonts w:hAnsi="宋体" w:eastAsia="宋体"/>
          <w:color w:val="auto"/>
          <w:sz w:val="24"/>
          <w:highlight w:val="none"/>
        </w:rPr>
        <w:t>玉柴机器股份有限公司</w:t>
      </w:r>
      <w:r>
        <w:rPr>
          <w:rFonts w:hint="eastAsia" w:hAnsi="宋体" w:eastAsia="宋体"/>
          <w:color w:val="auto"/>
          <w:sz w:val="24"/>
          <w:highlight w:val="none"/>
        </w:rPr>
        <w:t>、江苏汤臣汽车零部件有限公司、郑州机械研究所有限公司、大连金河铸造有限公司、芜湖格力精密制造有限公司</w:t>
      </w:r>
      <w:r>
        <w:rPr>
          <w:rFonts w:hint="eastAsia" w:hAnsi="宋体" w:eastAsia="宋体"/>
          <w:color w:val="auto"/>
          <w:sz w:val="24"/>
          <w:highlight w:val="none"/>
          <w:lang w:eastAsia="zh-CN"/>
        </w:rPr>
        <w:t>、</w:t>
      </w:r>
      <w:r>
        <w:rPr>
          <w:rFonts w:hint="eastAsia" w:hAnsi="宋体" w:eastAsia="宋体"/>
          <w:color w:val="auto"/>
          <w:sz w:val="24"/>
          <w:highlight w:val="none"/>
        </w:rPr>
        <w:t>山东宇信铸业有限公司、溧阳市新力机械铸造有限公司、山东湖西王集团铸业有限公司、成都金顶精密铸造有限公司、勤威（天津）工业有限</w:t>
      </w:r>
      <w:r>
        <w:rPr>
          <w:rFonts w:hint="eastAsia" w:hAnsi="宋体" w:eastAsia="宋体"/>
          <w:color w:val="auto"/>
          <w:sz w:val="24"/>
          <w:highlight w:val="none"/>
        </w:rPr>
        <w:t>公司（1</w:t>
      </w:r>
      <w:r>
        <w:rPr>
          <w:rFonts w:hAnsi="宋体" w:eastAsia="宋体"/>
          <w:color w:val="auto"/>
          <w:sz w:val="24"/>
          <w:highlight w:val="none"/>
        </w:rPr>
        <w:t>7</w:t>
      </w:r>
      <w:r>
        <w:rPr>
          <w:rFonts w:hint="eastAsia" w:hAnsi="宋体" w:eastAsia="宋体"/>
          <w:color w:val="auto"/>
          <w:sz w:val="24"/>
          <w:highlight w:val="none"/>
        </w:rPr>
        <w:t>家）</w:t>
      </w:r>
      <w:r>
        <w:rPr>
          <w:rFonts w:hint="eastAsia" w:hAnsi="宋体" w:eastAsia="宋体"/>
          <w:color w:val="auto"/>
          <w:sz w:val="24"/>
          <w:highlight w:val="none"/>
        </w:rPr>
        <w:t>…共同起草。</w:t>
      </w:r>
    </w:p>
    <w:p>
      <w:pPr>
        <w:spacing w:before="156" w:beforeLines="50" w:after="156" w:afterLines="50" w:line="440" w:lineRule="exact"/>
        <w:ind w:firstLine="480" w:firstLineChars="200"/>
        <w:outlineLvl w:val="0"/>
        <w:rPr>
          <w:rFonts w:hint="eastAsia" w:hAnsi="宋体" w:eastAsia="宋体"/>
          <w:color w:val="auto"/>
          <w:sz w:val="24"/>
          <w:highlight w:val="none"/>
          <w:lang w:eastAsia="zh-CN"/>
        </w:rPr>
      </w:pPr>
      <w:r>
        <w:rPr>
          <w:rFonts w:hint="eastAsia" w:hAnsi="宋体" w:eastAsia="宋体"/>
          <w:color w:val="auto"/>
          <w:sz w:val="24"/>
          <w:highlight w:val="none"/>
        </w:rPr>
        <w:t>主要成员</w:t>
      </w:r>
      <w:r>
        <w:rPr>
          <w:rFonts w:hint="eastAsia" w:hAnsi="宋体" w:eastAsia="宋体"/>
          <w:color w:val="auto"/>
          <w:sz w:val="24"/>
          <w:highlight w:val="none"/>
          <w:lang w:eastAsia="zh-CN"/>
        </w:rPr>
        <w:t>：</w:t>
      </w:r>
      <w:r>
        <w:rPr>
          <w:rFonts w:hint="eastAsia" w:hAnsi="宋体" w:eastAsia="宋体"/>
          <w:color w:val="auto"/>
          <w:sz w:val="24"/>
          <w:highlight w:val="none"/>
        </w:rPr>
        <w:t>李伟柱、李胜柱、崔炜、</w:t>
      </w:r>
      <w:r>
        <w:rPr>
          <w:rFonts w:hint="eastAsia" w:hAnsi="宋体" w:eastAsia="宋体"/>
          <w:color w:val="auto"/>
          <w:sz w:val="24"/>
          <w:highlight w:val="none"/>
          <w:lang w:val="en-US" w:eastAsia="zh-CN"/>
        </w:rPr>
        <w:t>何文东、</w:t>
      </w:r>
      <w:r>
        <w:rPr>
          <w:rFonts w:hint="eastAsia" w:hAnsi="宋体" w:eastAsia="宋体"/>
          <w:color w:val="auto"/>
          <w:sz w:val="24"/>
          <w:highlight w:val="none"/>
        </w:rPr>
        <w:t>张强强</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郭元飞、夏小江、</w:t>
      </w:r>
      <w:r>
        <w:rPr>
          <w:rFonts w:hint="eastAsia" w:hAnsi="宋体" w:eastAsia="宋体"/>
          <w:color w:val="auto"/>
          <w:sz w:val="24"/>
          <w:highlight w:val="none"/>
        </w:rPr>
        <w:t>李克锐、</w:t>
      </w:r>
      <w:r>
        <w:rPr>
          <w:rFonts w:hint="eastAsia" w:hAnsi="宋体" w:eastAsia="宋体"/>
          <w:color w:val="auto"/>
          <w:sz w:val="24"/>
          <w:highlight w:val="none"/>
          <w:lang w:val="en-US" w:eastAsia="zh-CN"/>
        </w:rPr>
        <w:t>朱劲松、林志华、张怀嵩、袁贤君、胡福星、丁士、胡连柱、</w:t>
      </w:r>
      <w:r>
        <w:rPr>
          <w:rFonts w:hint="eastAsia" w:hAnsi="宋体" w:eastAsia="宋体"/>
          <w:color w:val="auto"/>
          <w:sz w:val="24"/>
          <w:highlight w:val="none"/>
        </w:rPr>
        <w:t>王春风、</w:t>
      </w:r>
      <w:r>
        <w:rPr>
          <w:rFonts w:hint="eastAsia" w:hAnsi="宋体" w:eastAsia="宋体"/>
          <w:color w:val="auto"/>
          <w:sz w:val="24"/>
          <w:highlight w:val="none"/>
          <w:lang w:val="en-US" w:eastAsia="zh-CN"/>
        </w:rPr>
        <w:t>汪洋、</w:t>
      </w:r>
      <w:r>
        <w:rPr>
          <w:rFonts w:hint="eastAsia" w:hAnsi="宋体" w:eastAsia="宋体"/>
          <w:color w:val="auto"/>
          <w:sz w:val="24"/>
          <w:highlight w:val="none"/>
        </w:rPr>
        <w:t>吴宝成、郭孝江</w:t>
      </w:r>
      <w:r>
        <w:rPr>
          <w:rFonts w:hAnsi="宋体" w:eastAsia="宋体"/>
          <w:color w:val="auto"/>
          <w:sz w:val="24"/>
          <w:highlight w:val="none"/>
        </w:rPr>
        <w:t>、何春华、李统宇、马永明、</w:t>
      </w:r>
      <w:r>
        <w:rPr>
          <w:rFonts w:hint="eastAsia" w:hAnsi="宋体" w:eastAsia="宋体"/>
          <w:color w:val="auto"/>
          <w:sz w:val="24"/>
          <w:highlight w:val="none"/>
          <w:lang w:eastAsia="zh-Hans"/>
        </w:rPr>
        <w:t>崔宇</w:t>
      </w:r>
      <w:r>
        <w:rPr>
          <w:rFonts w:hAnsi="宋体" w:eastAsia="宋体"/>
          <w:color w:val="auto"/>
          <w:sz w:val="24"/>
          <w:highlight w:val="none"/>
          <w:lang w:eastAsia="zh-Hans"/>
        </w:rPr>
        <w:t>、</w:t>
      </w:r>
      <w:r>
        <w:rPr>
          <w:rFonts w:hint="eastAsia" w:hAnsi="宋体" w:eastAsia="宋体"/>
          <w:color w:val="auto"/>
          <w:sz w:val="24"/>
          <w:highlight w:val="none"/>
        </w:rPr>
        <w:t>吴现龙、赵竞翔、李增利、陈昭、李建国、李文生、令狐小鹏</w:t>
      </w:r>
      <w:r>
        <w:rPr>
          <w:rFonts w:hint="eastAsia" w:hAnsi="宋体" w:eastAsia="宋体"/>
          <w:color w:val="auto"/>
          <w:sz w:val="24"/>
          <w:highlight w:val="none"/>
          <w:lang w:eastAsia="zh-CN"/>
        </w:rPr>
        <w:t>。</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所做的工作: 李胜柱任工作组组长，主持全面协调工作，负责对各阶段标准的审核；李伟柱为本标准主要执笔人，负责本标准的具体起草与编制；崔炜负责对产品生产工艺、性能和使用经验进行总结和归纳；吴宝成</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何文东、</w:t>
      </w:r>
      <w:r>
        <w:rPr>
          <w:rFonts w:hint="eastAsia" w:hAnsi="宋体" w:eastAsia="宋体"/>
          <w:color w:val="auto"/>
          <w:sz w:val="24"/>
          <w:highlight w:val="none"/>
        </w:rPr>
        <w:t>张强强</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郭元飞、夏小江、</w:t>
      </w:r>
      <w:r>
        <w:rPr>
          <w:rFonts w:hint="eastAsia" w:hAnsi="宋体" w:eastAsia="宋体"/>
          <w:color w:val="auto"/>
          <w:sz w:val="24"/>
          <w:highlight w:val="none"/>
        </w:rPr>
        <w:t>李克锐、</w:t>
      </w:r>
      <w:r>
        <w:rPr>
          <w:rFonts w:hint="eastAsia" w:hAnsi="宋体" w:eastAsia="宋体"/>
          <w:color w:val="auto"/>
          <w:sz w:val="24"/>
          <w:highlight w:val="none"/>
          <w:lang w:val="en-US" w:eastAsia="zh-CN"/>
        </w:rPr>
        <w:t>朱劲松、林志华、张怀嵩、袁贤君、胡福星、丁士、胡连柱、</w:t>
      </w:r>
      <w:r>
        <w:rPr>
          <w:rFonts w:hint="eastAsia" w:hAnsi="宋体" w:eastAsia="宋体"/>
          <w:color w:val="auto"/>
          <w:sz w:val="24"/>
          <w:highlight w:val="none"/>
        </w:rPr>
        <w:t>负责国内外相关技术文献和资料的收集、分析及资料查证；郭孝江</w:t>
      </w:r>
      <w:r>
        <w:rPr>
          <w:rFonts w:hint="eastAsia" w:hAnsi="宋体" w:eastAsia="宋体"/>
          <w:color w:val="auto"/>
          <w:sz w:val="24"/>
          <w:highlight w:val="none"/>
          <w:lang w:val="en-US" w:eastAsia="zh-CN"/>
        </w:rPr>
        <w:t>等</w:t>
      </w:r>
      <w:r>
        <w:rPr>
          <w:rFonts w:hint="eastAsia" w:hAnsi="宋体" w:eastAsia="宋体"/>
          <w:color w:val="auto"/>
          <w:sz w:val="24"/>
          <w:highlight w:val="none"/>
        </w:rPr>
        <w:t>负责对国内外产品和技术的现状与发展情况进行全面调研；王春风</w:t>
      </w:r>
      <w:r>
        <w:rPr>
          <w:rFonts w:hint="eastAsia" w:hAnsi="宋体" w:eastAsia="宋体"/>
          <w:color w:val="auto"/>
          <w:sz w:val="24"/>
          <w:highlight w:val="none"/>
          <w:lang w:val="en-US" w:eastAsia="zh-CN"/>
        </w:rPr>
        <w:t>等</w:t>
      </w:r>
      <w:r>
        <w:rPr>
          <w:rFonts w:hint="eastAsia" w:hAnsi="宋体" w:eastAsia="宋体"/>
          <w:color w:val="auto"/>
          <w:sz w:val="24"/>
          <w:highlight w:val="none"/>
        </w:rPr>
        <w:t>负责对各方面的意见及建议进行归纳、整理；何春华</w:t>
      </w:r>
      <w:r>
        <w:rPr>
          <w:rFonts w:hint="eastAsia" w:hAnsi="宋体" w:eastAsia="宋体"/>
          <w:color w:val="auto"/>
          <w:sz w:val="24"/>
          <w:highlight w:val="none"/>
          <w:lang w:val="en-US" w:eastAsia="zh-CN"/>
        </w:rPr>
        <w:t>等</w:t>
      </w:r>
      <w:r>
        <w:rPr>
          <w:rFonts w:hint="eastAsia" w:hAnsi="宋体" w:eastAsia="宋体"/>
          <w:color w:val="auto"/>
          <w:sz w:val="24"/>
          <w:highlight w:val="none"/>
        </w:rPr>
        <w:t>负责对各引用标准资料收集、查证。</w:t>
      </w:r>
    </w:p>
    <w:p>
      <w:pPr>
        <w:spacing w:line="32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2.制修订标准的原则</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1）制修订标准的依据或理由</w:t>
      </w:r>
    </w:p>
    <w:p>
      <w:pPr>
        <w:spacing w:before="156" w:beforeLines="50" w:after="156" w:afterLines="50" w:line="440" w:lineRule="exact"/>
        <w:ind w:firstLine="480" w:firstLineChars="200"/>
        <w:outlineLvl w:val="0"/>
        <w:rPr>
          <w:color w:val="auto"/>
          <w:sz w:val="21"/>
          <w:szCs w:val="21"/>
          <w:highlight w:val="none"/>
        </w:rPr>
      </w:pPr>
      <w:r>
        <w:rPr>
          <w:rFonts w:hint="eastAsia" w:hAnsi="宋体" w:eastAsia="宋体"/>
          <w:color w:val="auto"/>
          <w:sz w:val="24"/>
          <w:highlight w:val="none"/>
        </w:rPr>
        <w:t>本文</w:t>
      </w:r>
      <w:r>
        <w:rPr>
          <w:rFonts w:hint="eastAsia" w:hAnsi="宋体" w:eastAsia="宋体"/>
          <w:color w:val="auto"/>
          <w:sz w:val="24"/>
          <w:highlight w:val="none"/>
          <w:lang w:eastAsia="zh-Hans"/>
        </w:rPr>
        <w:t>件</w:t>
      </w:r>
      <w:r>
        <w:rPr>
          <w:rFonts w:hint="eastAsia" w:hAnsi="宋体" w:eastAsia="宋体"/>
          <w:color w:val="auto"/>
          <w:sz w:val="24"/>
          <w:highlight w:val="none"/>
        </w:rPr>
        <w:t>在起草过程中，主要按照GB/T 1.1—2020《标准化工作导则  第1部分：标准化文件的结构和起草规则》的规定起草。在确定本标准主要技术指标时，综合考虑生产企业的能力和用户的利益，寻求最大的经济、社会效益，充分体现了标准在技术上的先进性和合理性。</w:t>
      </w:r>
    </w:p>
    <w:p>
      <w:pPr>
        <w:spacing w:before="156" w:beforeLines="50" w:after="156" w:afterLines="50" w:line="440" w:lineRule="exact"/>
        <w:ind w:firstLine="480" w:firstLineChars="200"/>
        <w:outlineLvl w:val="0"/>
        <w:rPr>
          <w:rFonts w:ascii="黑体" w:hAnsi="黑体" w:eastAsia="黑体"/>
          <w:color w:val="auto"/>
          <w:sz w:val="24"/>
          <w:szCs w:val="24"/>
          <w:highlight w:val="none"/>
        </w:rPr>
      </w:pPr>
      <w:r>
        <w:rPr>
          <w:rFonts w:hint="eastAsia" w:ascii="黑体" w:hAnsi="黑体" w:eastAsia="黑体"/>
          <w:color w:val="auto"/>
          <w:sz w:val="24"/>
          <w:szCs w:val="24"/>
          <w:highlight w:val="none"/>
        </w:rPr>
        <w:t>2）制修订标准的原则及制修订标准的原则</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本标准文本在制定/修订过程中，遵循“面向市场、服务产业、自主制定、适时推出、及时修订、不断完善”的原则，注重标准修订与技术创新、试验验证、产业推进、应用推广相结合，本着先进性、科学性、合理性和可操作性以及标准的目标、统一性、协调性、适用性、一致性和规范性的原则来进行本标准的制定/修订工作。</w:t>
      </w:r>
    </w:p>
    <w:p>
      <w:pPr>
        <w:spacing w:before="156" w:beforeLines="50" w:after="156" w:afterLines="50" w:line="440" w:lineRule="exact"/>
        <w:ind w:firstLine="482" w:firstLineChars="200"/>
        <w:rPr>
          <w:rFonts w:ascii="黑体" w:hAnsi="宋体" w:eastAsia="黑体"/>
          <w:color w:val="auto"/>
          <w:sz w:val="24"/>
          <w:szCs w:val="24"/>
          <w:highlight w:val="none"/>
        </w:rPr>
      </w:pPr>
      <w:r>
        <w:rPr>
          <w:rFonts w:hint="eastAsia" w:ascii="黑体" w:hAnsi="宋体" w:eastAsia="黑体"/>
          <w:b/>
          <w:color w:val="auto"/>
          <w:sz w:val="24"/>
          <w:szCs w:val="24"/>
          <w:highlight w:val="none"/>
        </w:rPr>
        <w:t>3.标准化对象简要情况</w:t>
      </w:r>
    </w:p>
    <w:p>
      <w:pPr>
        <w:spacing w:before="156" w:beforeLines="50" w:after="156" w:afterLines="50" w:line="440" w:lineRule="exact"/>
        <w:ind w:firstLine="480" w:firstLineChars="200"/>
        <w:rPr>
          <w:rFonts w:ascii="宋体" w:hAnsi="宋体" w:eastAsia="黑体"/>
          <w:color w:val="auto"/>
          <w:sz w:val="24"/>
          <w:szCs w:val="24"/>
          <w:highlight w:val="none"/>
        </w:rPr>
      </w:pPr>
      <w:r>
        <w:rPr>
          <w:rFonts w:hint="eastAsia" w:ascii="宋体" w:hAnsi="宋体" w:eastAsia="黑体"/>
          <w:color w:val="auto"/>
          <w:sz w:val="24"/>
          <w:szCs w:val="24"/>
          <w:highlight w:val="none"/>
        </w:rPr>
        <w:t>（</w:t>
      </w:r>
      <w:r>
        <w:rPr>
          <w:rFonts w:hint="eastAsia" w:ascii="黑体" w:hAnsi="宋体" w:eastAsia="黑体"/>
          <w:color w:val="auto"/>
          <w:sz w:val="24"/>
          <w:szCs w:val="24"/>
          <w:highlight w:val="none"/>
        </w:rPr>
        <w:t>应分析目前行业现状、市场需求和存在问题：涉及产品的主要品种、产量、主要生产厂家、应用现状等，涉及试验方法的水平、行业内使用情况、目前试验设备及仪器等）</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国内普通球墨铸铁材料，高强度牌号抗拉强度7</w:t>
      </w:r>
      <w:r>
        <w:rPr>
          <w:rFonts w:hAnsi="宋体" w:eastAsia="宋体"/>
          <w:color w:val="auto"/>
          <w:sz w:val="24"/>
          <w:highlight w:val="none"/>
        </w:rPr>
        <w:t>00MPa以上</w:t>
      </w:r>
      <w:r>
        <w:rPr>
          <w:rFonts w:hint="eastAsia" w:hAnsi="宋体" w:eastAsia="宋体"/>
          <w:color w:val="auto"/>
          <w:sz w:val="24"/>
          <w:highlight w:val="none"/>
        </w:rPr>
        <w:t>，</w:t>
      </w:r>
      <w:r>
        <w:rPr>
          <w:rFonts w:hAnsi="宋体" w:eastAsia="宋体"/>
          <w:color w:val="auto"/>
          <w:sz w:val="24"/>
          <w:highlight w:val="none"/>
        </w:rPr>
        <w:t>伸</w:t>
      </w:r>
      <w:r>
        <w:rPr>
          <w:rFonts w:hint="eastAsia" w:hAnsi="宋体" w:eastAsia="宋体"/>
          <w:color w:val="auto"/>
          <w:sz w:val="24"/>
          <w:highlight w:val="none"/>
          <w:lang w:eastAsia="zh-Hans"/>
        </w:rPr>
        <w:t>长</w:t>
      </w:r>
      <w:r>
        <w:rPr>
          <w:rFonts w:hAnsi="宋体" w:eastAsia="宋体"/>
          <w:color w:val="auto"/>
          <w:sz w:val="24"/>
          <w:highlight w:val="none"/>
        </w:rPr>
        <w:t>率只有</w:t>
      </w:r>
      <w:r>
        <w:rPr>
          <w:rFonts w:hint="eastAsia" w:hAnsi="宋体" w:eastAsia="宋体"/>
          <w:color w:val="auto"/>
          <w:sz w:val="24"/>
          <w:highlight w:val="none"/>
        </w:rPr>
        <w:t>2%，如Q</w:t>
      </w:r>
      <w:r>
        <w:rPr>
          <w:rFonts w:hAnsi="宋体" w:eastAsia="宋体"/>
          <w:color w:val="auto"/>
          <w:sz w:val="24"/>
          <w:highlight w:val="none"/>
        </w:rPr>
        <w:t>T900-2/QT800-2/QT700-2</w:t>
      </w:r>
      <w:r>
        <w:rPr>
          <w:rFonts w:hint="eastAsia" w:hAnsi="宋体" w:eastAsia="宋体"/>
          <w:color w:val="auto"/>
          <w:sz w:val="24"/>
          <w:highlight w:val="none"/>
        </w:rPr>
        <w:t>；高塑性牌号延伸率5%以上，抗拉强度只有3</w:t>
      </w:r>
      <w:r>
        <w:rPr>
          <w:rFonts w:hAnsi="宋体" w:eastAsia="宋体"/>
          <w:color w:val="auto"/>
          <w:sz w:val="24"/>
          <w:highlight w:val="none"/>
        </w:rPr>
        <w:t>50-550MPa</w:t>
      </w:r>
      <w:r>
        <w:rPr>
          <w:rFonts w:hint="eastAsia" w:hAnsi="宋体" w:eastAsia="宋体"/>
          <w:color w:val="auto"/>
          <w:sz w:val="24"/>
          <w:highlight w:val="none"/>
        </w:rPr>
        <w:t>，如Q</w:t>
      </w:r>
      <w:r>
        <w:rPr>
          <w:rFonts w:hAnsi="宋体" w:eastAsia="宋体"/>
          <w:color w:val="auto"/>
          <w:sz w:val="24"/>
          <w:highlight w:val="none"/>
        </w:rPr>
        <w:t>T550-5/QT450-10/QT350-22</w:t>
      </w:r>
      <w:r>
        <w:rPr>
          <w:rFonts w:hint="eastAsia" w:hAnsi="宋体" w:eastAsia="宋体"/>
          <w:color w:val="auto"/>
          <w:sz w:val="24"/>
          <w:highlight w:val="none"/>
        </w:rPr>
        <w:t>。</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高强度高塑性球墨铸铁具备强度高和塑性好的优点，在内燃机，底盘等汽车零部件，风机支撑座等部件，以及工业机器人减速机部件等领域得到广泛应用，客户订货量在持续增长，但是客户采用的标准是企业标准，国内还没有高强度高塑性球墨铸铁的标准。</w:t>
      </w:r>
    </w:p>
    <w:p>
      <w:pPr>
        <w:spacing w:before="156" w:beforeLines="50" w:after="156" w:afterLines="50" w:line="440" w:lineRule="exact"/>
        <w:ind w:firstLine="482" w:firstLineChars="200"/>
        <w:rPr>
          <w:rFonts w:ascii="黑体" w:hAnsi="黑体" w:eastAsia="黑体"/>
          <w:b/>
          <w:color w:val="auto"/>
          <w:sz w:val="24"/>
          <w:szCs w:val="24"/>
          <w:highlight w:val="none"/>
        </w:rPr>
      </w:pPr>
      <w:r>
        <w:rPr>
          <w:rFonts w:hint="eastAsia" w:ascii="黑体" w:hAnsi="宋体" w:eastAsia="黑体"/>
          <w:b/>
          <w:color w:val="auto"/>
          <w:sz w:val="24"/>
          <w:szCs w:val="24"/>
          <w:highlight w:val="none"/>
        </w:rPr>
        <w:t>4.</w:t>
      </w:r>
      <w:r>
        <w:rPr>
          <w:rFonts w:hint="eastAsia" w:ascii="黑体" w:hAnsi="黑体" w:eastAsia="黑体"/>
          <w:b/>
          <w:color w:val="auto"/>
          <w:sz w:val="24"/>
          <w:szCs w:val="24"/>
          <w:highlight w:val="none"/>
        </w:rPr>
        <w:t>与国际、国外标准对比情况</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1）采用国际标准和国外先进标准的项目，应当详细地说明采用该标准的目的、意义，标准程度及理由。</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2）与国际、国外同类标准的主要差异，或与测试的国外样品的有关数据对比情况等。</w:t>
      </w:r>
    </w:p>
    <w:p>
      <w:pPr>
        <w:spacing w:line="320" w:lineRule="exact"/>
        <w:rPr>
          <w:rFonts w:ascii="黑体" w:hAnsi="宋体" w:eastAsia="黑体"/>
          <w:color w:val="auto"/>
          <w:sz w:val="24"/>
          <w:szCs w:val="24"/>
          <w:highlight w:val="none"/>
        </w:rPr>
      </w:pPr>
      <w:r>
        <w:rPr>
          <w:rFonts w:hint="eastAsia" w:ascii="黑体" w:hAnsi="宋体" w:eastAsia="黑体"/>
          <w:color w:val="auto"/>
          <w:sz w:val="24"/>
          <w:szCs w:val="24"/>
          <w:highlight w:val="none"/>
        </w:rPr>
        <w:t>（应描述清楚对比情况，同时给出本标准的水平：国际先进、国际领先、国内先进、国内领先，</w:t>
      </w:r>
      <w:r>
        <w:rPr>
          <w:rFonts w:hint="eastAsia" w:ascii="黑体" w:hAnsi="黑体" w:eastAsia="黑体"/>
          <w:i/>
          <w:color w:val="auto"/>
          <w:sz w:val="24"/>
          <w:szCs w:val="24"/>
          <w:highlight w:val="none"/>
        </w:rPr>
        <w:t>同时应将查新报告扫描件作为附件附后</w:t>
      </w:r>
      <w:r>
        <w:rPr>
          <w:rFonts w:hint="eastAsia" w:ascii="黑体" w:hAnsi="宋体" w:eastAsia="黑体"/>
          <w:color w:val="auto"/>
          <w:sz w:val="24"/>
          <w:szCs w:val="24"/>
          <w:highlight w:val="none"/>
        </w:rPr>
        <w:t>）</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国外GF的Sibo Dur 有4个高塑性球墨铸铁牌号，Sibo Dur450-17、SiboDur550-12、SiboDur700-10和SiboDur800-5，机械性能见下表。SiboDur700-10和Sibo Dur800-5牌号的屈服强度性能指标均高于本标准对应牌号QT700-10和QT800-5的屈服强度性能指标。但是没有QT900-5和QT1000-5牌号。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294"/>
        <w:gridCol w:w="1385"/>
        <w:gridCol w:w="1144"/>
        <w:gridCol w:w="1016"/>
        <w:gridCol w:w="100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77" w:type="dxa"/>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SiboDur牌号</w:t>
            </w:r>
          </w:p>
        </w:tc>
        <w:tc>
          <w:tcPr>
            <w:tcW w:w="1294"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抗拉强度R</w:t>
            </w:r>
            <w:r>
              <w:rPr>
                <w:rFonts w:hint="eastAsia" w:ascii="Times New Roman"/>
                <w:color w:val="auto"/>
                <w:sz w:val="18"/>
                <w:szCs w:val="18"/>
                <w:highlight w:val="none"/>
                <w:vertAlign w:val="subscript"/>
              </w:rPr>
              <w:t>m</w:t>
            </w:r>
            <w:r>
              <w:rPr>
                <w:rFonts w:hint="eastAsia" w:ascii="Times New Roman"/>
                <w:color w:val="auto"/>
                <w:sz w:val="18"/>
                <w:szCs w:val="18"/>
                <w:highlight w:val="none"/>
              </w:rPr>
              <w:t>（m</w:t>
            </w:r>
            <w:r>
              <w:rPr>
                <w:rFonts w:ascii="Times New Roman"/>
                <w:color w:val="auto"/>
                <w:sz w:val="18"/>
                <w:szCs w:val="18"/>
                <w:highlight w:val="none"/>
              </w:rPr>
              <w:t>in</w:t>
            </w:r>
            <w:r>
              <w:rPr>
                <w:rFonts w:hint="eastAsia" w:ascii="Times New Roman"/>
                <w:color w:val="auto"/>
                <w:sz w:val="18"/>
                <w:szCs w:val="18"/>
                <w:highlight w:val="none"/>
              </w:rPr>
              <w:t>.）</w:t>
            </w:r>
            <w:r>
              <w:rPr>
                <w:rFonts w:ascii="Times New Roman"/>
                <w:color w:val="auto"/>
                <w:sz w:val="18"/>
                <w:szCs w:val="18"/>
                <w:highlight w:val="none"/>
              </w:rPr>
              <w:t>MPa</w:t>
            </w:r>
          </w:p>
        </w:tc>
        <w:tc>
          <w:tcPr>
            <w:tcW w:w="1385"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屈服强度R</w:t>
            </w:r>
            <w:r>
              <w:rPr>
                <w:rFonts w:hint="eastAsia" w:ascii="Times New Roman"/>
                <w:color w:val="auto"/>
                <w:sz w:val="18"/>
                <w:szCs w:val="18"/>
                <w:highlight w:val="none"/>
                <w:vertAlign w:val="subscript"/>
              </w:rPr>
              <w:t>p0.2</w:t>
            </w:r>
            <w:r>
              <w:rPr>
                <w:rFonts w:hint="eastAsia" w:ascii="Times New Roman"/>
                <w:color w:val="auto"/>
                <w:sz w:val="18"/>
                <w:szCs w:val="18"/>
                <w:highlight w:val="none"/>
              </w:rPr>
              <w:t>（m</w:t>
            </w:r>
            <w:r>
              <w:rPr>
                <w:rFonts w:ascii="Times New Roman"/>
                <w:color w:val="auto"/>
                <w:sz w:val="18"/>
                <w:szCs w:val="18"/>
                <w:highlight w:val="none"/>
              </w:rPr>
              <w:t>in</w:t>
            </w:r>
            <w:r>
              <w:rPr>
                <w:rFonts w:hint="eastAsia" w:ascii="Times New Roman"/>
                <w:color w:val="auto"/>
                <w:sz w:val="18"/>
                <w:szCs w:val="18"/>
                <w:highlight w:val="none"/>
              </w:rPr>
              <w:t>.）MPa</w:t>
            </w:r>
          </w:p>
        </w:tc>
        <w:tc>
          <w:tcPr>
            <w:tcW w:w="1144"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伸长率A（m</w:t>
            </w:r>
            <w:r>
              <w:rPr>
                <w:rFonts w:ascii="Times New Roman"/>
                <w:color w:val="auto"/>
                <w:sz w:val="18"/>
                <w:szCs w:val="18"/>
                <w:highlight w:val="none"/>
              </w:rPr>
              <w:t>in</w:t>
            </w:r>
            <w:r>
              <w:rPr>
                <w:rFonts w:hint="eastAsia" w:ascii="Times New Roman"/>
                <w:color w:val="auto"/>
                <w:sz w:val="18"/>
                <w:szCs w:val="18"/>
                <w:highlight w:val="none"/>
              </w:rPr>
              <w:t>.）%</w:t>
            </w:r>
          </w:p>
        </w:tc>
        <w:tc>
          <w:tcPr>
            <w:tcW w:w="1016" w:type="dxa"/>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杨氏模量</w:t>
            </w: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GPa</w:t>
            </w:r>
          </w:p>
        </w:tc>
        <w:tc>
          <w:tcPr>
            <w:tcW w:w="1006" w:type="dxa"/>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ascii="Times New Roman"/>
                <w:color w:val="auto"/>
                <w:sz w:val="18"/>
                <w:szCs w:val="18"/>
                <w:highlight w:val="none"/>
              </w:rPr>
              <w:t>布氏硬度</w:t>
            </w:r>
          </w:p>
          <w:p>
            <w:pPr>
              <w:pStyle w:val="14"/>
              <w:widowControl w:val="0"/>
              <w:numPr>
                <w:ilvl w:val="0"/>
                <w:numId w:val="0"/>
              </w:numPr>
              <w:spacing w:before="0" w:after="0" w:line="340" w:lineRule="exact"/>
              <w:jc w:val="center"/>
              <w:rPr>
                <w:rFonts w:ascii="Times New Roman"/>
                <w:color w:val="auto"/>
                <w:sz w:val="18"/>
                <w:szCs w:val="18"/>
                <w:highlight w:val="none"/>
              </w:rPr>
            </w:pPr>
            <w:r>
              <w:rPr>
                <w:rFonts w:ascii="Times New Roman"/>
                <w:color w:val="auto"/>
                <w:sz w:val="18"/>
                <w:szCs w:val="18"/>
                <w:highlight w:val="none"/>
              </w:rPr>
              <w:t>HB</w:t>
            </w:r>
          </w:p>
        </w:tc>
        <w:tc>
          <w:tcPr>
            <w:tcW w:w="1080" w:type="dxa"/>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珠光体</w:t>
            </w: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77" w:type="dxa"/>
            <w:tcBorders>
              <w:right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SiboDur450-17</w:t>
            </w:r>
          </w:p>
        </w:tc>
        <w:tc>
          <w:tcPr>
            <w:tcW w:w="129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450</w:t>
            </w:r>
          </w:p>
        </w:tc>
        <w:tc>
          <w:tcPr>
            <w:tcW w:w="1385"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310</w:t>
            </w:r>
          </w:p>
        </w:tc>
        <w:tc>
          <w:tcPr>
            <w:tcW w:w="114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17</w:t>
            </w:r>
          </w:p>
        </w:tc>
        <w:tc>
          <w:tcPr>
            <w:tcW w:w="1016"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170-175</w:t>
            </w:r>
          </w:p>
        </w:tc>
        <w:tc>
          <w:tcPr>
            <w:tcW w:w="1006"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150-190</w:t>
            </w:r>
          </w:p>
        </w:tc>
        <w:tc>
          <w:tcPr>
            <w:tcW w:w="1080"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Max20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77" w:type="dxa"/>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SiboDur550-12</w:t>
            </w:r>
          </w:p>
        </w:tc>
        <w:tc>
          <w:tcPr>
            <w:tcW w:w="1294"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550</w:t>
            </w:r>
          </w:p>
        </w:tc>
        <w:tc>
          <w:tcPr>
            <w:tcW w:w="1385"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380</w:t>
            </w:r>
          </w:p>
        </w:tc>
        <w:tc>
          <w:tcPr>
            <w:tcW w:w="1144"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12</w:t>
            </w:r>
          </w:p>
        </w:tc>
        <w:tc>
          <w:tcPr>
            <w:tcW w:w="1016"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170-175</w:t>
            </w:r>
          </w:p>
        </w:tc>
        <w:tc>
          <w:tcPr>
            <w:tcW w:w="1006"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200-240</w:t>
            </w:r>
          </w:p>
        </w:tc>
        <w:tc>
          <w:tcPr>
            <w:tcW w:w="1080"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77" w:type="dxa"/>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SiboDur700-10</w:t>
            </w:r>
          </w:p>
        </w:tc>
        <w:tc>
          <w:tcPr>
            <w:tcW w:w="1294" w:type="dxa"/>
          </w:tcPr>
          <w:p>
            <w:pPr>
              <w:spacing w:before="50" w:after="156"/>
              <w:jc w:val="center"/>
              <w:rPr>
                <w:color w:val="auto"/>
                <w:sz w:val="18"/>
                <w:szCs w:val="18"/>
                <w:highlight w:val="none"/>
              </w:rPr>
            </w:pPr>
            <w:r>
              <w:rPr>
                <w:rFonts w:hint="eastAsia"/>
                <w:color w:val="auto"/>
                <w:sz w:val="18"/>
                <w:szCs w:val="18"/>
                <w:highlight w:val="none"/>
              </w:rPr>
              <w:t>700</w:t>
            </w:r>
          </w:p>
        </w:tc>
        <w:tc>
          <w:tcPr>
            <w:tcW w:w="1385" w:type="dxa"/>
          </w:tcPr>
          <w:p>
            <w:pPr>
              <w:spacing w:before="50" w:after="156"/>
              <w:jc w:val="center"/>
              <w:rPr>
                <w:color w:val="auto"/>
                <w:sz w:val="18"/>
                <w:szCs w:val="18"/>
                <w:highlight w:val="none"/>
              </w:rPr>
            </w:pPr>
            <w:r>
              <w:rPr>
                <w:rFonts w:hint="eastAsia"/>
                <w:color w:val="auto"/>
                <w:sz w:val="18"/>
                <w:szCs w:val="18"/>
                <w:highlight w:val="none"/>
              </w:rPr>
              <w:t>440</w:t>
            </w:r>
          </w:p>
        </w:tc>
        <w:tc>
          <w:tcPr>
            <w:tcW w:w="1144" w:type="dxa"/>
          </w:tcPr>
          <w:p>
            <w:pPr>
              <w:spacing w:before="50" w:after="156"/>
              <w:jc w:val="center"/>
              <w:rPr>
                <w:color w:val="auto"/>
                <w:sz w:val="18"/>
                <w:szCs w:val="18"/>
                <w:highlight w:val="none"/>
              </w:rPr>
            </w:pPr>
            <w:r>
              <w:rPr>
                <w:rFonts w:hint="eastAsia"/>
                <w:color w:val="auto"/>
                <w:sz w:val="18"/>
                <w:szCs w:val="18"/>
                <w:highlight w:val="none"/>
              </w:rPr>
              <w:t>8-12</w:t>
            </w:r>
          </w:p>
        </w:tc>
        <w:tc>
          <w:tcPr>
            <w:tcW w:w="1016" w:type="dxa"/>
          </w:tcPr>
          <w:p>
            <w:pPr>
              <w:spacing w:before="50" w:after="156"/>
              <w:jc w:val="center"/>
              <w:rPr>
                <w:color w:val="auto"/>
                <w:sz w:val="18"/>
                <w:szCs w:val="18"/>
                <w:highlight w:val="none"/>
              </w:rPr>
            </w:pPr>
            <w:r>
              <w:rPr>
                <w:rFonts w:hint="eastAsia"/>
                <w:color w:val="auto"/>
                <w:sz w:val="18"/>
                <w:szCs w:val="18"/>
                <w:highlight w:val="none"/>
              </w:rPr>
              <w:t>170-180</w:t>
            </w:r>
          </w:p>
        </w:tc>
        <w:tc>
          <w:tcPr>
            <w:tcW w:w="1006" w:type="dxa"/>
          </w:tcPr>
          <w:p>
            <w:pPr>
              <w:spacing w:before="50" w:after="156"/>
              <w:jc w:val="center"/>
              <w:rPr>
                <w:color w:val="auto"/>
                <w:sz w:val="18"/>
                <w:szCs w:val="18"/>
                <w:highlight w:val="none"/>
              </w:rPr>
            </w:pPr>
            <w:r>
              <w:rPr>
                <w:rFonts w:hint="eastAsia"/>
                <w:color w:val="auto"/>
                <w:sz w:val="18"/>
                <w:szCs w:val="18"/>
                <w:highlight w:val="none"/>
              </w:rPr>
              <w:t>240-290</w:t>
            </w:r>
          </w:p>
        </w:tc>
        <w:tc>
          <w:tcPr>
            <w:tcW w:w="1080" w:type="dxa"/>
          </w:tcPr>
          <w:p>
            <w:pPr>
              <w:spacing w:before="50" w:after="156"/>
              <w:jc w:val="center"/>
              <w:rPr>
                <w:color w:val="auto"/>
                <w:sz w:val="18"/>
                <w:szCs w:val="18"/>
                <w:highlight w:val="none"/>
              </w:rPr>
            </w:pPr>
            <w:r>
              <w:rPr>
                <w:rFonts w:hint="eastAsia"/>
                <w:color w:val="auto"/>
                <w:sz w:val="18"/>
                <w:szCs w:val="18"/>
                <w:highlight w:val="none"/>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77" w:type="dxa"/>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SiboDur800-5</w:t>
            </w:r>
          </w:p>
        </w:tc>
        <w:tc>
          <w:tcPr>
            <w:tcW w:w="1294" w:type="dxa"/>
          </w:tcPr>
          <w:p>
            <w:pPr>
              <w:spacing w:before="50" w:after="156"/>
              <w:jc w:val="center"/>
              <w:rPr>
                <w:color w:val="auto"/>
                <w:sz w:val="18"/>
                <w:szCs w:val="18"/>
                <w:highlight w:val="none"/>
              </w:rPr>
            </w:pPr>
            <w:r>
              <w:rPr>
                <w:rFonts w:hint="eastAsia"/>
                <w:color w:val="auto"/>
                <w:sz w:val="18"/>
                <w:szCs w:val="18"/>
                <w:highlight w:val="none"/>
              </w:rPr>
              <w:t>800</w:t>
            </w:r>
          </w:p>
        </w:tc>
        <w:tc>
          <w:tcPr>
            <w:tcW w:w="1385" w:type="dxa"/>
          </w:tcPr>
          <w:p>
            <w:pPr>
              <w:spacing w:before="50" w:after="156"/>
              <w:jc w:val="center"/>
              <w:rPr>
                <w:color w:val="auto"/>
                <w:sz w:val="18"/>
                <w:szCs w:val="18"/>
                <w:highlight w:val="none"/>
              </w:rPr>
            </w:pPr>
            <w:r>
              <w:rPr>
                <w:rFonts w:hint="eastAsia"/>
                <w:color w:val="auto"/>
                <w:sz w:val="18"/>
                <w:szCs w:val="18"/>
                <w:highlight w:val="none"/>
              </w:rPr>
              <w:t>480</w:t>
            </w:r>
          </w:p>
        </w:tc>
        <w:tc>
          <w:tcPr>
            <w:tcW w:w="1144" w:type="dxa"/>
          </w:tcPr>
          <w:p>
            <w:pPr>
              <w:spacing w:before="50" w:after="156"/>
              <w:jc w:val="center"/>
              <w:rPr>
                <w:color w:val="auto"/>
                <w:sz w:val="18"/>
                <w:szCs w:val="18"/>
                <w:highlight w:val="none"/>
              </w:rPr>
            </w:pPr>
            <w:r>
              <w:rPr>
                <w:rFonts w:hint="eastAsia"/>
                <w:color w:val="auto"/>
                <w:sz w:val="18"/>
                <w:szCs w:val="18"/>
                <w:highlight w:val="none"/>
              </w:rPr>
              <w:t>5</w:t>
            </w:r>
          </w:p>
        </w:tc>
        <w:tc>
          <w:tcPr>
            <w:tcW w:w="1016" w:type="dxa"/>
          </w:tcPr>
          <w:p>
            <w:pPr>
              <w:spacing w:before="50" w:after="156"/>
              <w:jc w:val="center"/>
              <w:rPr>
                <w:color w:val="auto"/>
                <w:sz w:val="18"/>
                <w:szCs w:val="18"/>
                <w:highlight w:val="none"/>
              </w:rPr>
            </w:pPr>
            <w:r>
              <w:rPr>
                <w:rFonts w:hint="eastAsia"/>
                <w:color w:val="auto"/>
                <w:sz w:val="18"/>
                <w:szCs w:val="18"/>
                <w:highlight w:val="none"/>
              </w:rPr>
              <w:t>170-180</w:t>
            </w:r>
          </w:p>
        </w:tc>
        <w:tc>
          <w:tcPr>
            <w:tcW w:w="1006" w:type="dxa"/>
          </w:tcPr>
          <w:p>
            <w:pPr>
              <w:spacing w:before="50" w:after="156"/>
              <w:jc w:val="center"/>
              <w:rPr>
                <w:color w:val="auto"/>
                <w:sz w:val="18"/>
                <w:szCs w:val="18"/>
                <w:highlight w:val="none"/>
              </w:rPr>
            </w:pPr>
            <w:r>
              <w:rPr>
                <w:rFonts w:hint="eastAsia"/>
                <w:color w:val="auto"/>
                <w:sz w:val="18"/>
                <w:szCs w:val="18"/>
                <w:highlight w:val="none"/>
              </w:rPr>
              <w:t>250-300</w:t>
            </w:r>
          </w:p>
        </w:tc>
        <w:tc>
          <w:tcPr>
            <w:tcW w:w="1080" w:type="dxa"/>
          </w:tcPr>
          <w:p>
            <w:pPr>
              <w:spacing w:before="50" w:after="156"/>
              <w:jc w:val="center"/>
              <w:rPr>
                <w:color w:val="auto"/>
                <w:sz w:val="18"/>
                <w:szCs w:val="18"/>
                <w:highlight w:val="none"/>
              </w:rPr>
            </w:pPr>
            <w:r>
              <w:rPr>
                <w:rFonts w:hint="eastAsia" w:ascii="微软雅黑" w:hAnsi="微软雅黑" w:eastAsia="微软雅黑" w:cs="微软雅黑"/>
                <w:color w:val="auto"/>
                <w:sz w:val="18"/>
                <w:szCs w:val="18"/>
                <w:highlight w:val="none"/>
              </w:rPr>
              <w:t>&gt;</w:t>
            </w:r>
            <w:r>
              <w:rPr>
                <w:rFonts w:hint="eastAsia"/>
                <w:color w:val="auto"/>
                <w:sz w:val="18"/>
                <w:szCs w:val="18"/>
                <w:highlight w:val="none"/>
              </w:rPr>
              <w:t>80</w:t>
            </w:r>
          </w:p>
        </w:tc>
      </w:tr>
    </w:tbl>
    <w:p>
      <w:pPr>
        <w:spacing w:before="156" w:beforeLines="50" w:after="156" w:afterLines="50" w:line="440" w:lineRule="exact"/>
        <w:ind w:firstLine="480" w:firstLineChars="200"/>
        <w:outlineLvl w:val="0"/>
        <w:rPr>
          <w:rFonts w:hAnsiTheme="minorEastAsia" w:eastAsiaTheme="minorEastAsia"/>
          <w:color w:val="auto"/>
          <w:sz w:val="24"/>
          <w:highlight w:val="none"/>
        </w:rPr>
      </w:pPr>
      <w:r>
        <w:rPr>
          <w:rFonts w:hint="eastAsia" w:hAnsi="宋体" w:eastAsia="宋体"/>
          <w:color w:val="auto"/>
          <w:sz w:val="24"/>
          <w:highlight w:val="none"/>
        </w:rPr>
        <w:t>国内标准相比，GB T1348-2019《球墨铸铁件》标准中对应的只有QT900-2、QT800-2、QT700-2，没有本标准制定的牌号QT900-5、QT800-5和QT700-10，更没有QT1000-5牌号；GB T 24733-2009《等温淬火球墨铸铁件》标准中对应的有QTD800-10、QTD900-8、QTD1050-6等牌号，与之</w:t>
      </w:r>
      <w:r>
        <w:rPr>
          <w:rFonts w:hint="eastAsia" w:hAnsiTheme="minorEastAsia" w:eastAsiaTheme="minorEastAsia"/>
          <w:color w:val="auto"/>
          <w:sz w:val="24"/>
          <w:highlight w:val="none"/>
        </w:rPr>
        <w:t>相比有较大的成本优势。</w:t>
      </w:r>
    </w:p>
    <w:p>
      <w:pPr>
        <w:spacing w:before="156" w:beforeLines="50" w:after="156" w:afterLines="50" w:line="440" w:lineRule="exact"/>
        <w:ind w:firstLine="482" w:firstLineChars="200"/>
        <w:outlineLvl w:val="0"/>
        <w:rPr>
          <w:rFonts w:ascii="黑体" w:hAnsi="宋体" w:eastAsia="黑体"/>
          <w:b/>
          <w:color w:val="auto"/>
          <w:sz w:val="24"/>
          <w:szCs w:val="24"/>
          <w:highlight w:val="none"/>
        </w:rPr>
      </w:pPr>
      <w:r>
        <w:rPr>
          <w:rFonts w:hint="eastAsia" w:ascii="黑体" w:hAnsi="宋体" w:eastAsia="黑体"/>
          <w:b/>
          <w:color w:val="auto"/>
          <w:sz w:val="24"/>
          <w:szCs w:val="24"/>
          <w:highlight w:val="none"/>
        </w:rPr>
        <w:t>5.标准主要内容</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1）适用范围</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本文件规定了高强度高塑性球墨铸铁件的术语和定义、牌号、技术要求、试样制备、试验方法、检验规则及铸件标志、包装和储运要求。</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本文件适用于铁型覆砂、金属型和壳型背丸生产的高强度高塑性球墨铸铁件。其他铸造方法生产的高强度高塑性球墨铸铁件，可参照使用。</w:t>
      </w:r>
    </w:p>
    <w:p>
      <w:pPr>
        <w:spacing w:before="156" w:beforeLines="50" w:after="156" w:afterLines="50" w:line="440" w:lineRule="exact"/>
        <w:ind w:firstLine="480" w:firstLineChars="200"/>
        <w:outlineLvl w:val="0"/>
        <w:rPr>
          <w:rFonts w:hAnsi="宋体"/>
          <w:color w:val="auto"/>
          <w:sz w:val="24"/>
          <w:highlight w:val="none"/>
        </w:rPr>
      </w:pPr>
      <w:r>
        <w:rPr>
          <w:rFonts w:hint="eastAsia" w:hAnsi="宋体" w:eastAsia="宋体"/>
          <w:color w:val="auto"/>
          <w:sz w:val="24"/>
          <w:highlight w:val="none"/>
        </w:rPr>
        <w:t>本文件不适用于等温淬火球墨铸铁件。</w:t>
      </w:r>
    </w:p>
    <w:p>
      <w:pPr>
        <w:spacing w:before="156" w:beforeLines="50" w:after="156" w:afterLines="50" w:line="440" w:lineRule="exact"/>
        <w:ind w:firstLine="480" w:firstLineChars="200"/>
        <w:outlineLvl w:val="0"/>
        <w:rPr>
          <w:rFonts w:ascii="黑体" w:hAnsi="宋体" w:eastAsia="黑体"/>
          <w:color w:val="auto"/>
          <w:sz w:val="24"/>
          <w:szCs w:val="24"/>
          <w:highlight w:val="none"/>
        </w:rPr>
      </w:pPr>
      <w:r>
        <w:rPr>
          <w:rFonts w:ascii="黑体" w:hAnsi="宋体" w:eastAsia="黑体"/>
          <w:color w:val="auto"/>
          <w:sz w:val="24"/>
          <w:szCs w:val="24"/>
          <w:highlight w:val="none"/>
        </w:rPr>
        <w:t>2</w:t>
      </w:r>
      <w:r>
        <w:rPr>
          <w:rFonts w:hint="eastAsia" w:ascii="黑体" w:hAnsi="宋体" w:eastAsia="黑体"/>
          <w:color w:val="auto"/>
          <w:sz w:val="24"/>
          <w:szCs w:val="24"/>
          <w:highlight w:val="none"/>
        </w:rPr>
        <w:t>）主要内容</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（主要性能指标、技术要求、试验方法、检验规则等，应详细描述设定的理由，与现有国内外标准不一样的理由以及标准解决的主要问题等）</w:t>
      </w:r>
    </w:p>
    <w:p>
      <w:pPr>
        <w:spacing w:before="156" w:beforeLines="50" w:after="156" w:afterLines="50" w:line="440" w:lineRule="exact"/>
        <w:ind w:firstLine="480" w:firstLineChars="200"/>
        <w:outlineLvl w:val="0"/>
        <w:rPr>
          <w:rFonts w:hAnsi="宋体" w:eastAsia="宋体"/>
          <w:color w:val="auto"/>
          <w:sz w:val="24"/>
          <w:highlight w:val="none"/>
        </w:rPr>
      </w:pPr>
      <w:r>
        <w:rPr>
          <w:rFonts w:hAnsi="宋体" w:eastAsia="宋体"/>
          <w:color w:val="auto"/>
          <w:sz w:val="24"/>
          <w:highlight w:val="none"/>
        </w:rPr>
        <w:t>表</w:t>
      </w:r>
      <w:r>
        <w:rPr>
          <w:rFonts w:hint="eastAsia" w:hAnsi="宋体" w:eastAsia="宋体"/>
          <w:color w:val="auto"/>
          <w:sz w:val="24"/>
          <w:highlight w:val="none"/>
        </w:rPr>
        <w:t>1规定了5个牌号的拉伸性能</w:t>
      </w:r>
      <w:r>
        <w:rPr>
          <w:rFonts w:hAnsi="宋体" w:eastAsia="宋体"/>
          <w:color w:val="auto"/>
          <w:sz w:val="24"/>
          <w:highlight w:val="none"/>
        </w:rPr>
        <w:t>指标</w:t>
      </w:r>
      <w:r>
        <w:rPr>
          <w:rFonts w:hint="eastAsia" w:hAnsi="宋体" w:eastAsia="宋体"/>
          <w:color w:val="auto"/>
          <w:sz w:val="24"/>
          <w:highlight w:val="none"/>
        </w:rPr>
        <w:t>。</w:t>
      </w:r>
      <w:r>
        <w:rPr>
          <w:rFonts w:hAnsi="宋体" w:eastAsia="宋体"/>
          <w:color w:val="auto"/>
          <w:sz w:val="24"/>
          <w:highlight w:val="none"/>
        </w:rPr>
        <w:t>表</w:t>
      </w:r>
      <w:r>
        <w:rPr>
          <w:rFonts w:hint="eastAsia" w:hAnsi="宋体" w:eastAsia="宋体"/>
          <w:color w:val="auto"/>
          <w:sz w:val="24"/>
          <w:highlight w:val="none"/>
        </w:rPr>
        <w:t>2给出了布氏硬度指导值。</w:t>
      </w:r>
    </w:p>
    <w:p>
      <w:pPr>
        <w:pStyle w:val="16"/>
        <w:numPr>
          <w:ilvl w:val="0"/>
          <w:numId w:val="0"/>
        </w:numPr>
        <w:spacing w:before="156" w:beforeLines="50" w:after="156" w:afterLines="50" w:line="240" w:lineRule="exact"/>
        <w:jc w:val="center"/>
        <w:rPr>
          <w:rFonts w:hAnsi="黑体"/>
          <w:color w:val="auto"/>
          <w:szCs w:val="21"/>
          <w:highlight w:val="none"/>
        </w:rPr>
      </w:pPr>
      <w:r>
        <w:rPr>
          <w:rFonts w:hAnsi="黑体"/>
          <w:color w:val="auto"/>
          <w:szCs w:val="21"/>
          <w:highlight w:val="none"/>
        </w:rPr>
        <w:t xml:space="preserve">表1 </w:t>
      </w:r>
      <w:r>
        <w:rPr>
          <w:rFonts w:hAnsi="黑体"/>
          <w:b/>
          <w:bCs/>
          <w:color w:val="auto"/>
          <w:szCs w:val="21"/>
          <w:highlight w:val="none"/>
        </w:rPr>
        <w:t xml:space="preserve"> </w:t>
      </w:r>
      <w:r>
        <w:rPr>
          <w:rFonts w:hint="eastAsia"/>
          <w:color w:val="auto"/>
          <w:highlight w:val="none"/>
        </w:rPr>
        <w:t>高强度高塑性球墨铸铁件单铸、并排或附铸试样的拉伸性能</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384"/>
        <w:gridCol w:w="1429"/>
        <w:gridCol w:w="150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21" w:type="dxa"/>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牌号</w:t>
            </w:r>
          </w:p>
        </w:tc>
        <w:tc>
          <w:tcPr>
            <w:tcW w:w="1384"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铸件</w:t>
            </w: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主要壁厚t</w:t>
            </w:r>
            <w:r>
              <w:rPr>
                <w:rFonts w:ascii="Times New Roman"/>
                <w:color w:val="auto"/>
                <w:sz w:val="18"/>
                <w:szCs w:val="18"/>
                <w:highlight w:val="none"/>
              </w:rPr>
              <w:t>/mm</w:t>
            </w:r>
          </w:p>
        </w:tc>
        <w:tc>
          <w:tcPr>
            <w:tcW w:w="1429"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抗拉强度R</w:t>
            </w:r>
            <w:r>
              <w:rPr>
                <w:rFonts w:hint="eastAsia" w:ascii="Times New Roman"/>
                <w:color w:val="auto"/>
                <w:sz w:val="18"/>
                <w:szCs w:val="18"/>
                <w:highlight w:val="none"/>
                <w:vertAlign w:val="subscript"/>
              </w:rPr>
              <w:t>m</w:t>
            </w:r>
            <w:r>
              <w:rPr>
                <w:rFonts w:hint="eastAsia" w:ascii="Times New Roman"/>
                <w:color w:val="auto"/>
                <w:sz w:val="18"/>
                <w:szCs w:val="18"/>
                <w:highlight w:val="none"/>
              </w:rPr>
              <w:t>（m</w:t>
            </w:r>
            <w:r>
              <w:rPr>
                <w:rFonts w:ascii="Times New Roman"/>
                <w:color w:val="auto"/>
                <w:sz w:val="18"/>
                <w:szCs w:val="18"/>
                <w:highlight w:val="none"/>
              </w:rPr>
              <w:t>in</w:t>
            </w:r>
            <w:r>
              <w:rPr>
                <w:rFonts w:hint="eastAsia" w:ascii="Times New Roman"/>
                <w:color w:val="auto"/>
                <w:sz w:val="18"/>
                <w:szCs w:val="18"/>
                <w:highlight w:val="none"/>
              </w:rPr>
              <w:t>.）</w:t>
            </w:r>
          </w:p>
          <w:p>
            <w:pPr>
              <w:pStyle w:val="14"/>
              <w:widowControl w:val="0"/>
              <w:numPr>
                <w:ilvl w:val="0"/>
                <w:numId w:val="0"/>
              </w:numPr>
              <w:spacing w:before="0" w:after="0" w:line="340" w:lineRule="exact"/>
              <w:jc w:val="center"/>
              <w:rPr>
                <w:rFonts w:ascii="Times New Roman"/>
                <w:color w:val="auto"/>
                <w:sz w:val="18"/>
                <w:szCs w:val="18"/>
                <w:highlight w:val="none"/>
              </w:rPr>
            </w:pPr>
            <w:r>
              <w:rPr>
                <w:rFonts w:ascii="Times New Roman"/>
                <w:color w:val="auto"/>
                <w:sz w:val="18"/>
                <w:szCs w:val="18"/>
                <w:highlight w:val="none"/>
              </w:rPr>
              <w:t>MPa</w:t>
            </w:r>
          </w:p>
        </w:tc>
        <w:tc>
          <w:tcPr>
            <w:tcW w:w="1500"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屈服强度R</w:t>
            </w:r>
            <w:r>
              <w:rPr>
                <w:rFonts w:hint="eastAsia" w:ascii="Times New Roman"/>
                <w:color w:val="auto"/>
                <w:sz w:val="18"/>
                <w:szCs w:val="18"/>
                <w:highlight w:val="none"/>
                <w:vertAlign w:val="subscript"/>
              </w:rPr>
              <w:t>p0.2</w:t>
            </w:r>
            <w:r>
              <w:rPr>
                <w:rFonts w:hint="eastAsia" w:ascii="Times New Roman"/>
                <w:color w:val="auto"/>
                <w:sz w:val="18"/>
                <w:szCs w:val="18"/>
                <w:highlight w:val="none"/>
              </w:rPr>
              <w:t>（m</w:t>
            </w:r>
            <w:r>
              <w:rPr>
                <w:rFonts w:ascii="Times New Roman"/>
                <w:color w:val="auto"/>
                <w:sz w:val="18"/>
                <w:szCs w:val="18"/>
                <w:highlight w:val="none"/>
              </w:rPr>
              <w:t>in</w:t>
            </w:r>
            <w:r>
              <w:rPr>
                <w:rFonts w:hint="eastAsia" w:ascii="Times New Roman"/>
                <w:color w:val="auto"/>
                <w:sz w:val="18"/>
                <w:szCs w:val="18"/>
                <w:highlight w:val="none"/>
              </w:rPr>
              <w:t>.）</w:t>
            </w: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MPa</w:t>
            </w:r>
          </w:p>
        </w:tc>
        <w:tc>
          <w:tcPr>
            <w:tcW w:w="1374" w:type="dxa"/>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伸长率A</w:t>
            </w:r>
            <w:r>
              <w:rPr>
                <w:rFonts w:hint="eastAsia" w:ascii="Times New Roman"/>
                <w:color w:val="auto"/>
                <w:sz w:val="18"/>
                <w:szCs w:val="18"/>
                <w:highlight w:val="none"/>
                <w:vertAlign w:val="subscript"/>
              </w:rPr>
              <w:t>5</w:t>
            </w:r>
            <w:r>
              <w:rPr>
                <w:rFonts w:hint="eastAsia" w:ascii="Times New Roman"/>
                <w:color w:val="auto"/>
                <w:sz w:val="18"/>
                <w:szCs w:val="18"/>
                <w:highlight w:val="none"/>
              </w:rPr>
              <w:t>（m</w:t>
            </w:r>
            <w:r>
              <w:rPr>
                <w:rFonts w:ascii="Times New Roman"/>
                <w:color w:val="auto"/>
                <w:sz w:val="18"/>
                <w:szCs w:val="18"/>
                <w:highlight w:val="none"/>
              </w:rPr>
              <w:t>in</w:t>
            </w:r>
            <w:r>
              <w:rPr>
                <w:rFonts w:hint="eastAsia" w:ascii="Times New Roman"/>
                <w:color w:val="auto"/>
                <w:sz w:val="18"/>
                <w:szCs w:val="18"/>
                <w:highlight w:val="none"/>
              </w:rPr>
              <w:t>.）</w:t>
            </w: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restart"/>
          </w:tcPr>
          <w:p>
            <w:pPr>
              <w:pStyle w:val="14"/>
              <w:widowControl w:val="0"/>
              <w:numPr>
                <w:ilvl w:val="0"/>
                <w:numId w:val="0"/>
              </w:numPr>
              <w:spacing w:after="0" w:line="340" w:lineRule="exact"/>
              <w:jc w:val="center"/>
              <w:rPr>
                <w:rFonts w:ascii="Times New Roman"/>
                <w:color w:val="auto"/>
                <w:sz w:val="18"/>
                <w:szCs w:val="18"/>
                <w:highlight w:val="none"/>
              </w:rPr>
            </w:pPr>
          </w:p>
          <w:p>
            <w:pPr>
              <w:pStyle w:val="14"/>
              <w:widowControl w:val="0"/>
              <w:numPr>
                <w:ilvl w:val="0"/>
                <w:numId w:val="0"/>
              </w:numPr>
              <w:spacing w:after="0" w:line="340" w:lineRule="exact"/>
              <w:jc w:val="center"/>
              <w:rPr>
                <w:rFonts w:ascii="Times New Roman"/>
                <w:color w:val="auto"/>
                <w:sz w:val="18"/>
                <w:szCs w:val="18"/>
                <w:highlight w:val="none"/>
              </w:rPr>
            </w:pPr>
            <w:r>
              <w:rPr>
                <w:rFonts w:hint="eastAsia" w:ascii="Times New Roman"/>
                <w:color w:val="auto"/>
                <w:sz w:val="18"/>
                <w:szCs w:val="18"/>
                <w:highlight w:val="none"/>
              </w:rPr>
              <w:t>Q</w:t>
            </w:r>
            <w:r>
              <w:rPr>
                <w:rFonts w:ascii="Times New Roman"/>
                <w:color w:val="auto"/>
                <w:sz w:val="18"/>
                <w:szCs w:val="18"/>
                <w:highlight w:val="none"/>
              </w:rPr>
              <w:t>T700-</w:t>
            </w:r>
            <w:r>
              <w:rPr>
                <w:rFonts w:hint="eastAsia" w:ascii="Times New Roman"/>
                <w:color w:val="auto"/>
                <w:sz w:val="18"/>
                <w:szCs w:val="18"/>
                <w:highlight w:val="none"/>
              </w:rPr>
              <w:t>8</w:t>
            </w:r>
          </w:p>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t≤30</w:t>
            </w:r>
          </w:p>
        </w:tc>
        <w:tc>
          <w:tcPr>
            <w:tcW w:w="1429"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7</w:t>
            </w:r>
            <w:r>
              <w:rPr>
                <w:color w:val="auto"/>
                <w:sz w:val="18"/>
                <w:szCs w:val="18"/>
                <w:highlight w:val="none"/>
              </w:rPr>
              <w:t>00</w:t>
            </w:r>
          </w:p>
        </w:tc>
        <w:tc>
          <w:tcPr>
            <w:tcW w:w="1500"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43</w:t>
            </w:r>
            <w:r>
              <w:rPr>
                <w:color w:val="auto"/>
                <w:sz w:val="18"/>
                <w:szCs w:val="18"/>
                <w:highlight w:val="none"/>
              </w:rPr>
              <w:t>0</w:t>
            </w:r>
          </w:p>
        </w:tc>
        <w:tc>
          <w:tcPr>
            <w:tcW w:w="1374"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vAlign w:val="center"/>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30&lt;t≤60</w:t>
            </w:r>
          </w:p>
        </w:tc>
        <w:tc>
          <w:tcPr>
            <w:tcW w:w="1429"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700</w:t>
            </w:r>
          </w:p>
        </w:tc>
        <w:tc>
          <w:tcPr>
            <w:tcW w:w="1500"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41</w:t>
            </w:r>
            <w:r>
              <w:rPr>
                <w:color w:val="auto"/>
                <w:sz w:val="18"/>
                <w:szCs w:val="18"/>
                <w:highlight w:val="none"/>
              </w:rPr>
              <w:t>0</w:t>
            </w:r>
          </w:p>
        </w:tc>
        <w:tc>
          <w:tcPr>
            <w:tcW w:w="1374"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vAlign w:val="center"/>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60&lt;t≤100</w:t>
            </w:r>
          </w:p>
        </w:tc>
        <w:tc>
          <w:tcPr>
            <w:tcW w:w="1429"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660</w:t>
            </w:r>
          </w:p>
        </w:tc>
        <w:tc>
          <w:tcPr>
            <w:tcW w:w="1500" w:type="dxa"/>
            <w:tcBorders>
              <w:bottom w:val="single" w:color="auto" w:sz="4" w:space="0"/>
            </w:tcBorders>
          </w:tcPr>
          <w:p>
            <w:pPr>
              <w:spacing w:before="50" w:after="156"/>
              <w:jc w:val="center"/>
              <w:rPr>
                <w:color w:val="auto"/>
                <w:sz w:val="18"/>
                <w:szCs w:val="18"/>
                <w:highlight w:val="none"/>
              </w:rPr>
            </w:pPr>
            <w:r>
              <w:rPr>
                <w:color w:val="auto"/>
                <w:sz w:val="18"/>
                <w:szCs w:val="18"/>
                <w:highlight w:val="none"/>
              </w:rPr>
              <w:t>3</w:t>
            </w:r>
            <w:r>
              <w:rPr>
                <w:rFonts w:hint="eastAsia"/>
                <w:color w:val="auto"/>
                <w:sz w:val="18"/>
                <w:szCs w:val="18"/>
                <w:highlight w:val="none"/>
              </w:rPr>
              <w:t>9</w:t>
            </w:r>
            <w:r>
              <w:rPr>
                <w:color w:val="auto"/>
                <w:sz w:val="18"/>
                <w:szCs w:val="18"/>
                <w:highlight w:val="none"/>
              </w:rPr>
              <w:t>0</w:t>
            </w:r>
          </w:p>
        </w:tc>
        <w:tc>
          <w:tcPr>
            <w:tcW w:w="1374" w:type="dxa"/>
            <w:tcBorders>
              <w:bottom w:val="single" w:color="auto" w:sz="4" w:space="0"/>
            </w:tcBorders>
          </w:tcPr>
          <w:p>
            <w:pPr>
              <w:spacing w:before="50" w:after="156"/>
              <w:jc w:val="center"/>
              <w:rPr>
                <w:color w:val="auto"/>
                <w:sz w:val="18"/>
                <w:szCs w:val="18"/>
                <w:highlight w:val="none"/>
              </w:rPr>
            </w:pPr>
            <w:r>
              <w:rPr>
                <w:rFonts w:hint="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1" w:type="dxa"/>
            <w:vMerge w:val="restart"/>
            <w:tcBorders>
              <w:right w:val="single" w:color="auto" w:sz="4" w:space="0"/>
            </w:tcBorders>
          </w:tcPr>
          <w:p>
            <w:pPr>
              <w:pStyle w:val="14"/>
              <w:widowControl w:val="0"/>
              <w:numPr>
                <w:ilvl w:val="0"/>
                <w:numId w:val="0"/>
              </w:numPr>
              <w:spacing w:after="0" w:line="340" w:lineRule="exact"/>
              <w:jc w:val="center"/>
              <w:rPr>
                <w:rFonts w:ascii="Times New Roman"/>
                <w:color w:val="auto"/>
                <w:sz w:val="18"/>
                <w:szCs w:val="18"/>
                <w:highlight w:val="none"/>
              </w:rPr>
            </w:pPr>
          </w:p>
          <w:p>
            <w:pPr>
              <w:pStyle w:val="14"/>
              <w:widowControl w:val="0"/>
              <w:numPr>
                <w:ilvl w:val="0"/>
                <w:numId w:val="0"/>
              </w:numPr>
              <w:spacing w:after="0" w:line="340" w:lineRule="exact"/>
              <w:jc w:val="center"/>
              <w:rPr>
                <w:rFonts w:ascii="Times New Roman"/>
                <w:color w:val="auto"/>
                <w:sz w:val="18"/>
                <w:szCs w:val="18"/>
                <w:highlight w:val="none"/>
              </w:rPr>
            </w:pPr>
            <w:r>
              <w:rPr>
                <w:rFonts w:hint="eastAsia" w:ascii="Times New Roman"/>
                <w:color w:val="auto"/>
                <w:sz w:val="18"/>
                <w:szCs w:val="18"/>
                <w:highlight w:val="none"/>
              </w:rPr>
              <w:t>Q</w:t>
            </w:r>
            <w:r>
              <w:rPr>
                <w:rFonts w:ascii="Times New Roman"/>
                <w:color w:val="auto"/>
                <w:sz w:val="18"/>
                <w:szCs w:val="18"/>
                <w:highlight w:val="none"/>
              </w:rPr>
              <w:t>T700-10</w:t>
            </w:r>
          </w:p>
        </w:tc>
        <w:tc>
          <w:tcPr>
            <w:tcW w:w="138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t≤30</w:t>
            </w:r>
          </w:p>
        </w:tc>
        <w:tc>
          <w:tcPr>
            <w:tcW w:w="1429"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7</w:t>
            </w:r>
            <w:r>
              <w:rPr>
                <w:color w:val="auto"/>
                <w:sz w:val="18"/>
                <w:szCs w:val="18"/>
                <w:highlight w:val="none"/>
              </w:rPr>
              <w:t>00</w:t>
            </w:r>
          </w:p>
        </w:tc>
        <w:tc>
          <w:tcPr>
            <w:tcW w:w="1500"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4</w:t>
            </w:r>
            <w:r>
              <w:rPr>
                <w:color w:val="auto"/>
                <w:sz w:val="18"/>
                <w:szCs w:val="18"/>
                <w:highlight w:val="none"/>
              </w:rPr>
              <w:t>20</w:t>
            </w:r>
          </w:p>
        </w:tc>
        <w:tc>
          <w:tcPr>
            <w:tcW w:w="137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1" w:type="dxa"/>
            <w:vMerge w:val="continue"/>
            <w:tcBorders>
              <w:right w:val="single" w:color="auto" w:sz="4" w:space="0"/>
            </w:tcBorders>
          </w:tcPr>
          <w:p>
            <w:pPr>
              <w:pStyle w:val="14"/>
              <w:widowControl w:val="0"/>
              <w:numPr>
                <w:ilvl w:val="0"/>
                <w:numId w:val="0"/>
              </w:numPr>
              <w:spacing w:after="0" w:line="340" w:lineRule="exact"/>
              <w:jc w:val="center"/>
              <w:rPr>
                <w:rFonts w:ascii="Times New Roman"/>
                <w:color w:val="auto"/>
                <w:sz w:val="18"/>
                <w:szCs w:val="18"/>
                <w:highlight w:val="none"/>
              </w:rPr>
            </w:pPr>
          </w:p>
        </w:tc>
        <w:tc>
          <w:tcPr>
            <w:tcW w:w="138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30&lt;t≤60</w:t>
            </w:r>
          </w:p>
        </w:tc>
        <w:tc>
          <w:tcPr>
            <w:tcW w:w="1429"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700</w:t>
            </w:r>
          </w:p>
        </w:tc>
        <w:tc>
          <w:tcPr>
            <w:tcW w:w="1500"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4</w:t>
            </w:r>
            <w:r>
              <w:rPr>
                <w:color w:val="auto"/>
                <w:sz w:val="18"/>
                <w:szCs w:val="18"/>
                <w:highlight w:val="none"/>
              </w:rPr>
              <w:t>00</w:t>
            </w:r>
          </w:p>
        </w:tc>
        <w:tc>
          <w:tcPr>
            <w:tcW w:w="137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1" w:type="dxa"/>
            <w:vMerge w:val="continue"/>
            <w:tcBorders>
              <w:right w:val="single" w:color="auto" w:sz="4" w:space="0"/>
            </w:tcBorders>
          </w:tcPr>
          <w:p>
            <w:pPr>
              <w:pStyle w:val="14"/>
              <w:widowControl w:val="0"/>
              <w:numPr>
                <w:ilvl w:val="0"/>
                <w:numId w:val="0"/>
              </w:numPr>
              <w:spacing w:after="0" w:line="340" w:lineRule="exact"/>
              <w:jc w:val="center"/>
              <w:rPr>
                <w:rFonts w:ascii="Times New Roman"/>
                <w:color w:val="auto"/>
                <w:sz w:val="18"/>
                <w:szCs w:val="18"/>
                <w:highlight w:val="none"/>
              </w:rPr>
            </w:pPr>
          </w:p>
        </w:tc>
        <w:tc>
          <w:tcPr>
            <w:tcW w:w="138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60&lt;t≤100</w:t>
            </w:r>
          </w:p>
        </w:tc>
        <w:tc>
          <w:tcPr>
            <w:tcW w:w="1429"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660</w:t>
            </w:r>
          </w:p>
        </w:tc>
        <w:tc>
          <w:tcPr>
            <w:tcW w:w="1500"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color w:val="auto"/>
                <w:sz w:val="18"/>
                <w:szCs w:val="18"/>
                <w:highlight w:val="none"/>
              </w:rPr>
              <w:t>380</w:t>
            </w:r>
          </w:p>
        </w:tc>
        <w:tc>
          <w:tcPr>
            <w:tcW w:w="1374" w:type="dxa"/>
            <w:tcBorders>
              <w:top w:val="single" w:color="auto" w:sz="4" w:space="0"/>
              <w:left w:val="single" w:color="auto" w:sz="4" w:space="0"/>
              <w:bottom w:val="single" w:color="auto" w:sz="4" w:space="0"/>
              <w:right w:val="single" w:color="auto" w:sz="4" w:space="0"/>
            </w:tcBorders>
          </w:tcPr>
          <w:p>
            <w:pPr>
              <w:spacing w:before="50" w:after="156"/>
              <w:jc w:val="center"/>
              <w:rPr>
                <w:color w:val="auto"/>
                <w:sz w:val="18"/>
                <w:szCs w:val="18"/>
                <w:highlight w:val="none"/>
              </w:rPr>
            </w:pPr>
            <w:r>
              <w:rPr>
                <w:rFonts w:hint="eastAsia"/>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21" w:type="dxa"/>
            <w:vMerge w:val="restart"/>
          </w:tcPr>
          <w:p>
            <w:pPr>
              <w:pStyle w:val="14"/>
              <w:widowControl w:val="0"/>
              <w:numPr>
                <w:ilvl w:val="0"/>
                <w:numId w:val="0"/>
              </w:numPr>
              <w:spacing w:before="0" w:after="0" w:line="340" w:lineRule="exact"/>
              <w:jc w:val="center"/>
              <w:rPr>
                <w:rFonts w:ascii="Times New Roman"/>
                <w:color w:val="auto"/>
                <w:sz w:val="18"/>
                <w:szCs w:val="18"/>
                <w:highlight w:val="none"/>
              </w:rPr>
            </w:pPr>
          </w:p>
          <w:p>
            <w:pPr>
              <w:pStyle w:val="14"/>
              <w:widowControl w:val="0"/>
              <w:numPr>
                <w:ilvl w:val="0"/>
                <w:numId w:val="0"/>
              </w:numPr>
              <w:spacing w:before="0" w:after="0" w:line="340" w:lineRule="exact"/>
              <w:jc w:val="center"/>
              <w:rPr>
                <w:rFonts w:ascii="Times New Roman"/>
                <w:color w:val="auto"/>
                <w:sz w:val="18"/>
                <w:szCs w:val="18"/>
                <w:highlight w:val="none"/>
              </w:rPr>
            </w:pP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w:t>
            </w:r>
            <w:r>
              <w:rPr>
                <w:rFonts w:ascii="Times New Roman"/>
                <w:color w:val="auto"/>
                <w:sz w:val="18"/>
                <w:szCs w:val="18"/>
                <w:highlight w:val="none"/>
              </w:rPr>
              <w:t>T800-5</w:t>
            </w:r>
          </w:p>
        </w:tc>
        <w:tc>
          <w:tcPr>
            <w:tcW w:w="1384" w:type="dxa"/>
            <w:tcBorders>
              <w:top w:val="single" w:color="auto" w:sz="4" w:space="0"/>
            </w:tcBorders>
          </w:tcPr>
          <w:p>
            <w:pPr>
              <w:spacing w:before="50" w:after="156"/>
              <w:jc w:val="center"/>
              <w:rPr>
                <w:color w:val="auto"/>
                <w:sz w:val="18"/>
                <w:szCs w:val="18"/>
                <w:highlight w:val="none"/>
              </w:rPr>
            </w:pPr>
            <w:r>
              <w:rPr>
                <w:color w:val="auto"/>
                <w:sz w:val="18"/>
                <w:szCs w:val="18"/>
                <w:highlight w:val="none"/>
              </w:rPr>
              <w:t>t≤30</w:t>
            </w:r>
          </w:p>
        </w:tc>
        <w:tc>
          <w:tcPr>
            <w:tcW w:w="1429"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8</w:t>
            </w:r>
            <w:r>
              <w:rPr>
                <w:color w:val="auto"/>
                <w:sz w:val="18"/>
                <w:szCs w:val="18"/>
                <w:highlight w:val="none"/>
              </w:rPr>
              <w:t>00</w:t>
            </w:r>
          </w:p>
        </w:tc>
        <w:tc>
          <w:tcPr>
            <w:tcW w:w="1500"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4</w:t>
            </w:r>
            <w:r>
              <w:rPr>
                <w:color w:val="auto"/>
                <w:sz w:val="18"/>
                <w:szCs w:val="18"/>
                <w:highlight w:val="none"/>
              </w:rPr>
              <w:t>80</w:t>
            </w:r>
          </w:p>
        </w:tc>
        <w:tc>
          <w:tcPr>
            <w:tcW w:w="1374"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Borders>
              <w:top w:val="single" w:color="auto" w:sz="4" w:space="0"/>
            </w:tcBorders>
          </w:tcPr>
          <w:p>
            <w:pPr>
              <w:spacing w:before="50" w:after="156"/>
              <w:jc w:val="center"/>
              <w:rPr>
                <w:color w:val="auto"/>
                <w:sz w:val="18"/>
                <w:szCs w:val="18"/>
                <w:highlight w:val="none"/>
              </w:rPr>
            </w:pPr>
            <w:r>
              <w:rPr>
                <w:color w:val="auto"/>
                <w:sz w:val="18"/>
                <w:szCs w:val="18"/>
                <w:highlight w:val="none"/>
              </w:rPr>
              <w:t>30&lt;t≤60</w:t>
            </w:r>
          </w:p>
        </w:tc>
        <w:tc>
          <w:tcPr>
            <w:tcW w:w="1429" w:type="dxa"/>
            <w:tcBorders>
              <w:top w:val="single" w:color="auto" w:sz="4" w:space="0"/>
            </w:tcBorders>
          </w:tcPr>
          <w:p>
            <w:pPr>
              <w:spacing w:before="50" w:after="156"/>
              <w:jc w:val="center"/>
              <w:rPr>
                <w:color w:val="auto"/>
                <w:sz w:val="18"/>
                <w:szCs w:val="18"/>
                <w:highlight w:val="none"/>
              </w:rPr>
            </w:pPr>
            <w:r>
              <w:rPr>
                <w:color w:val="auto"/>
                <w:sz w:val="18"/>
                <w:szCs w:val="18"/>
                <w:highlight w:val="none"/>
              </w:rPr>
              <w:t>800</w:t>
            </w:r>
          </w:p>
        </w:tc>
        <w:tc>
          <w:tcPr>
            <w:tcW w:w="1500"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4</w:t>
            </w:r>
            <w:r>
              <w:rPr>
                <w:color w:val="auto"/>
                <w:sz w:val="18"/>
                <w:szCs w:val="18"/>
                <w:highlight w:val="none"/>
              </w:rPr>
              <w:t>80</w:t>
            </w:r>
          </w:p>
        </w:tc>
        <w:tc>
          <w:tcPr>
            <w:tcW w:w="1374"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Borders>
              <w:top w:val="single" w:color="auto" w:sz="4" w:space="0"/>
            </w:tcBorders>
          </w:tcPr>
          <w:p>
            <w:pPr>
              <w:spacing w:before="50" w:after="156"/>
              <w:jc w:val="center"/>
              <w:rPr>
                <w:color w:val="auto"/>
                <w:sz w:val="18"/>
                <w:szCs w:val="18"/>
                <w:highlight w:val="none"/>
              </w:rPr>
            </w:pPr>
            <w:r>
              <w:rPr>
                <w:color w:val="auto"/>
                <w:sz w:val="18"/>
                <w:szCs w:val="18"/>
                <w:highlight w:val="none"/>
              </w:rPr>
              <w:t>60&lt;t≤100</w:t>
            </w:r>
          </w:p>
        </w:tc>
        <w:tc>
          <w:tcPr>
            <w:tcW w:w="1429"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7</w:t>
            </w:r>
            <w:r>
              <w:rPr>
                <w:color w:val="auto"/>
                <w:sz w:val="18"/>
                <w:szCs w:val="18"/>
                <w:highlight w:val="none"/>
              </w:rPr>
              <w:t>80</w:t>
            </w:r>
          </w:p>
        </w:tc>
        <w:tc>
          <w:tcPr>
            <w:tcW w:w="1500"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4</w:t>
            </w:r>
            <w:r>
              <w:rPr>
                <w:color w:val="auto"/>
                <w:sz w:val="18"/>
                <w:szCs w:val="18"/>
                <w:highlight w:val="none"/>
              </w:rPr>
              <w:t>50</w:t>
            </w:r>
          </w:p>
        </w:tc>
        <w:tc>
          <w:tcPr>
            <w:tcW w:w="1374" w:type="dxa"/>
            <w:tcBorders>
              <w:top w:val="single" w:color="auto" w:sz="4" w:space="0"/>
            </w:tcBorders>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1" w:type="dxa"/>
            <w:vMerge w:val="restart"/>
          </w:tcPr>
          <w:p>
            <w:pPr>
              <w:pStyle w:val="14"/>
              <w:widowControl w:val="0"/>
              <w:numPr>
                <w:ilvl w:val="0"/>
                <w:numId w:val="0"/>
              </w:numPr>
              <w:spacing w:before="0" w:after="0" w:line="340" w:lineRule="exact"/>
              <w:jc w:val="center"/>
              <w:rPr>
                <w:rFonts w:ascii="Times New Roman"/>
                <w:color w:val="auto"/>
                <w:sz w:val="18"/>
                <w:szCs w:val="18"/>
                <w:highlight w:val="none"/>
              </w:rPr>
            </w:pPr>
          </w:p>
          <w:p>
            <w:pPr>
              <w:pStyle w:val="14"/>
              <w:widowControl w:val="0"/>
              <w:numPr>
                <w:ilvl w:val="0"/>
                <w:numId w:val="0"/>
              </w:numPr>
              <w:spacing w:before="0" w:after="0" w:line="340" w:lineRule="exact"/>
              <w:jc w:val="center"/>
              <w:rPr>
                <w:rFonts w:ascii="Times New Roman"/>
                <w:color w:val="auto"/>
                <w:sz w:val="18"/>
                <w:szCs w:val="18"/>
                <w:highlight w:val="none"/>
              </w:rPr>
            </w:pPr>
          </w:p>
          <w:p>
            <w:pPr>
              <w:pStyle w:val="14"/>
              <w:widowControl w:val="0"/>
              <w:numPr>
                <w:ilvl w:val="0"/>
                <w:numId w:val="0"/>
              </w:numPr>
              <w:spacing w:before="0" w:after="0" w:line="340" w:lineRule="exact"/>
              <w:jc w:val="center"/>
              <w:rPr>
                <w:color w:val="auto"/>
                <w:highlight w:val="none"/>
              </w:rPr>
            </w:pPr>
            <w:r>
              <w:rPr>
                <w:rFonts w:hint="eastAsia" w:ascii="Times New Roman"/>
                <w:color w:val="auto"/>
                <w:sz w:val="18"/>
                <w:szCs w:val="18"/>
                <w:highlight w:val="none"/>
              </w:rPr>
              <w:t>Q</w:t>
            </w:r>
            <w:r>
              <w:rPr>
                <w:rFonts w:ascii="Times New Roman"/>
                <w:color w:val="auto"/>
                <w:sz w:val="18"/>
                <w:szCs w:val="18"/>
                <w:highlight w:val="none"/>
              </w:rPr>
              <w:t>T900-5</w:t>
            </w:r>
          </w:p>
        </w:tc>
        <w:tc>
          <w:tcPr>
            <w:tcW w:w="1384" w:type="dxa"/>
          </w:tcPr>
          <w:p>
            <w:pPr>
              <w:spacing w:before="50" w:after="156"/>
              <w:jc w:val="center"/>
              <w:rPr>
                <w:color w:val="auto"/>
                <w:sz w:val="18"/>
                <w:szCs w:val="18"/>
                <w:highlight w:val="none"/>
              </w:rPr>
            </w:pPr>
            <w:r>
              <w:rPr>
                <w:color w:val="auto"/>
                <w:sz w:val="18"/>
                <w:szCs w:val="18"/>
                <w:highlight w:val="none"/>
              </w:rPr>
              <w:t>t≤30</w:t>
            </w:r>
          </w:p>
        </w:tc>
        <w:tc>
          <w:tcPr>
            <w:tcW w:w="1429" w:type="dxa"/>
          </w:tcPr>
          <w:p>
            <w:pPr>
              <w:spacing w:before="50" w:after="156"/>
              <w:jc w:val="center"/>
              <w:rPr>
                <w:color w:val="auto"/>
                <w:sz w:val="18"/>
                <w:szCs w:val="18"/>
                <w:highlight w:val="none"/>
              </w:rPr>
            </w:pPr>
            <w:r>
              <w:rPr>
                <w:rFonts w:hint="eastAsia"/>
                <w:color w:val="auto"/>
                <w:sz w:val="18"/>
                <w:szCs w:val="18"/>
                <w:highlight w:val="none"/>
              </w:rPr>
              <w:t>9</w:t>
            </w:r>
            <w:r>
              <w:rPr>
                <w:color w:val="auto"/>
                <w:sz w:val="18"/>
                <w:szCs w:val="18"/>
                <w:highlight w:val="none"/>
              </w:rPr>
              <w:t>00</w:t>
            </w:r>
          </w:p>
        </w:tc>
        <w:tc>
          <w:tcPr>
            <w:tcW w:w="1500" w:type="dxa"/>
          </w:tcPr>
          <w:p>
            <w:pPr>
              <w:spacing w:before="50" w:after="156"/>
              <w:jc w:val="center"/>
              <w:rPr>
                <w:color w:val="auto"/>
                <w:sz w:val="18"/>
                <w:szCs w:val="18"/>
                <w:highlight w:val="none"/>
              </w:rPr>
            </w:pPr>
            <w:r>
              <w:rPr>
                <w:rFonts w:hint="eastAsia"/>
                <w:color w:val="auto"/>
                <w:sz w:val="18"/>
                <w:szCs w:val="18"/>
                <w:highlight w:val="none"/>
              </w:rPr>
              <w:t>5</w:t>
            </w:r>
            <w:r>
              <w:rPr>
                <w:color w:val="auto"/>
                <w:sz w:val="18"/>
                <w:szCs w:val="18"/>
                <w:highlight w:val="none"/>
              </w:rPr>
              <w:t>40</w:t>
            </w:r>
          </w:p>
        </w:tc>
        <w:tc>
          <w:tcPr>
            <w:tcW w:w="1374" w:type="dxa"/>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Pr>
          <w:p>
            <w:pPr>
              <w:spacing w:before="50" w:after="156"/>
              <w:jc w:val="center"/>
              <w:rPr>
                <w:color w:val="auto"/>
                <w:sz w:val="18"/>
                <w:szCs w:val="18"/>
                <w:highlight w:val="none"/>
              </w:rPr>
            </w:pPr>
            <w:r>
              <w:rPr>
                <w:color w:val="auto"/>
                <w:sz w:val="18"/>
                <w:szCs w:val="18"/>
                <w:highlight w:val="none"/>
              </w:rPr>
              <w:t>30&lt;t≤60</w:t>
            </w:r>
          </w:p>
        </w:tc>
        <w:tc>
          <w:tcPr>
            <w:tcW w:w="1429" w:type="dxa"/>
          </w:tcPr>
          <w:p>
            <w:pPr>
              <w:spacing w:before="50" w:after="156"/>
              <w:jc w:val="center"/>
              <w:rPr>
                <w:color w:val="auto"/>
                <w:sz w:val="18"/>
                <w:szCs w:val="18"/>
                <w:highlight w:val="none"/>
              </w:rPr>
            </w:pPr>
            <w:r>
              <w:rPr>
                <w:color w:val="auto"/>
                <w:sz w:val="18"/>
                <w:szCs w:val="18"/>
                <w:highlight w:val="none"/>
              </w:rPr>
              <w:t>880</w:t>
            </w:r>
          </w:p>
        </w:tc>
        <w:tc>
          <w:tcPr>
            <w:tcW w:w="1500" w:type="dxa"/>
          </w:tcPr>
          <w:p>
            <w:pPr>
              <w:spacing w:before="50" w:after="156"/>
              <w:jc w:val="center"/>
              <w:rPr>
                <w:color w:val="auto"/>
                <w:sz w:val="18"/>
                <w:szCs w:val="18"/>
                <w:highlight w:val="none"/>
              </w:rPr>
            </w:pPr>
            <w:r>
              <w:rPr>
                <w:color w:val="auto"/>
                <w:sz w:val="18"/>
                <w:szCs w:val="18"/>
                <w:highlight w:val="none"/>
              </w:rPr>
              <w:t>540</w:t>
            </w:r>
          </w:p>
        </w:tc>
        <w:tc>
          <w:tcPr>
            <w:tcW w:w="1374" w:type="dxa"/>
          </w:tcPr>
          <w:p>
            <w:pPr>
              <w:spacing w:before="50" w:after="156"/>
              <w:jc w:val="center"/>
              <w:rPr>
                <w:color w:val="auto"/>
                <w:sz w:val="18"/>
                <w:szCs w:val="18"/>
                <w:highlight w:val="none"/>
              </w:rPr>
            </w:pPr>
            <w:r>
              <w:rPr>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Pr>
          <w:p>
            <w:pPr>
              <w:spacing w:before="50" w:after="156"/>
              <w:jc w:val="center"/>
              <w:rPr>
                <w:color w:val="auto"/>
                <w:sz w:val="18"/>
                <w:szCs w:val="18"/>
                <w:highlight w:val="none"/>
              </w:rPr>
            </w:pPr>
            <w:r>
              <w:rPr>
                <w:color w:val="auto"/>
                <w:sz w:val="18"/>
                <w:szCs w:val="18"/>
                <w:highlight w:val="none"/>
              </w:rPr>
              <w:t>60&lt;t≤100</w:t>
            </w:r>
          </w:p>
        </w:tc>
        <w:tc>
          <w:tcPr>
            <w:tcW w:w="1429" w:type="dxa"/>
          </w:tcPr>
          <w:p>
            <w:pPr>
              <w:spacing w:before="50" w:after="156"/>
              <w:jc w:val="center"/>
              <w:rPr>
                <w:color w:val="auto"/>
                <w:sz w:val="18"/>
                <w:szCs w:val="18"/>
                <w:highlight w:val="none"/>
              </w:rPr>
            </w:pPr>
            <w:r>
              <w:rPr>
                <w:color w:val="auto"/>
                <w:sz w:val="18"/>
                <w:szCs w:val="18"/>
                <w:highlight w:val="none"/>
              </w:rPr>
              <w:t>860</w:t>
            </w:r>
          </w:p>
        </w:tc>
        <w:tc>
          <w:tcPr>
            <w:tcW w:w="1500" w:type="dxa"/>
          </w:tcPr>
          <w:p>
            <w:pPr>
              <w:spacing w:before="50" w:after="156"/>
              <w:jc w:val="center"/>
              <w:rPr>
                <w:color w:val="auto"/>
                <w:sz w:val="18"/>
                <w:szCs w:val="18"/>
                <w:highlight w:val="none"/>
              </w:rPr>
            </w:pPr>
            <w:r>
              <w:rPr>
                <w:rFonts w:hint="eastAsia"/>
                <w:color w:val="auto"/>
                <w:sz w:val="18"/>
                <w:szCs w:val="18"/>
                <w:highlight w:val="none"/>
              </w:rPr>
              <w:t>5</w:t>
            </w:r>
            <w:r>
              <w:rPr>
                <w:color w:val="auto"/>
                <w:sz w:val="18"/>
                <w:szCs w:val="18"/>
                <w:highlight w:val="none"/>
              </w:rPr>
              <w:t>20</w:t>
            </w:r>
          </w:p>
        </w:tc>
        <w:tc>
          <w:tcPr>
            <w:tcW w:w="1374" w:type="dxa"/>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21" w:type="dxa"/>
            <w:vMerge w:val="restart"/>
          </w:tcPr>
          <w:p>
            <w:pPr>
              <w:pStyle w:val="14"/>
              <w:widowControl w:val="0"/>
              <w:numPr>
                <w:ilvl w:val="0"/>
                <w:numId w:val="0"/>
              </w:numPr>
              <w:spacing w:before="0" w:after="0" w:line="340" w:lineRule="exact"/>
              <w:jc w:val="center"/>
              <w:rPr>
                <w:rFonts w:ascii="Times New Roman"/>
                <w:color w:val="auto"/>
                <w:sz w:val="18"/>
                <w:szCs w:val="18"/>
                <w:highlight w:val="none"/>
              </w:rPr>
            </w:pPr>
          </w:p>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w:t>
            </w:r>
            <w:r>
              <w:rPr>
                <w:rFonts w:ascii="Times New Roman"/>
                <w:color w:val="auto"/>
                <w:sz w:val="18"/>
                <w:szCs w:val="18"/>
                <w:highlight w:val="none"/>
              </w:rPr>
              <w:t>T1000-5</w:t>
            </w:r>
          </w:p>
        </w:tc>
        <w:tc>
          <w:tcPr>
            <w:tcW w:w="1384" w:type="dxa"/>
          </w:tcPr>
          <w:p>
            <w:pPr>
              <w:spacing w:before="50" w:after="156"/>
              <w:jc w:val="center"/>
              <w:rPr>
                <w:color w:val="auto"/>
                <w:sz w:val="18"/>
                <w:szCs w:val="18"/>
                <w:highlight w:val="none"/>
              </w:rPr>
            </w:pPr>
            <w:r>
              <w:rPr>
                <w:color w:val="auto"/>
                <w:sz w:val="18"/>
                <w:szCs w:val="18"/>
                <w:highlight w:val="none"/>
              </w:rPr>
              <w:t>t≤30</w:t>
            </w:r>
          </w:p>
        </w:tc>
        <w:tc>
          <w:tcPr>
            <w:tcW w:w="1429" w:type="dxa"/>
          </w:tcPr>
          <w:p>
            <w:pPr>
              <w:spacing w:before="50" w:after="156"/>
              <w:jc w:val="center"/>
              <w:rPr>
                <w:color w:val="auto"/>
                <w:sz w:val="18"/>
                <w:szCs w:val="18"/>
                <w:highlight w:val="none"/>
              </w:rPr>
            </w:pPr>
            <w:r>
              <w:rPr>
                <w:rFonts w:hint="eastAsia"/>
                <w:color w:val="auto"/>
                <w:sz w:val="18"/>
                <w:szCs w:val="18"/>
                <w:highlight w:val="none"/>
              </w:rPr>
              <w:t>1000</w:t>
            </w:r>
          </w:p>
        </w:tc>
        <w:tc>
          <w:tcPr>
            <w:tcW w:w="1500" w:type="dxa"/>
          </w:tcPr>
          <w:p>
            <w:pPr>
              <w:spacing w:before="50" w:after="156"/>
              <w:jc w:val="center"/>
              <w:rPr>
                <w:color w:val="auto"/>
                <w:sz w:val="18"/>
                <w:szCs w:val="18"/>
                <w:highlight w:val="none"/>
              </w:rPr>
            </w:pPr>
            <w:r>
              <w:rPr>
                <w:rFonts w:hint="eastAsia"/>
                <w:color w:val="auto"/>
                <w:sz w:val="18"/>
                <w:szCs w:val="18"/>
                <w:highlight w:val="none"/>
              </w:rPr>
              <w:t>600</w:t>
            </w:r>
          </w:p>
        </w:tc>
        <w:tc>
          <w:tcPr>
            <w:tcW w:w="1374" w:type="dxa"/>
          </w:tcPr>
          <w:p>
            <w:pPr>
              <w:spacing w:before="50" w:after="156"/>
              <w:jc w:val="center"/>
              <w:rPr>
                <w:color w:val="auto"/>
                <w:sz w:val="18"/>
                <w:szCs w:val="18"/>
                <w:highlight w:val="none"/>
              </w:rPr>
            </w:pPr>
            <w:r>
              <w:rPr>
                <w:rFonts w:hint="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Pr>
          <w:p>
            <w:pPr>
              <w:spacing w:before="50" w:after="156"/>
              <w:jc w:val="center"/>
              <w:rPr>
                <w:color w:val="auto"/>
                <w:sz w:val="18"/>
                <w:szCs w:val="18"/>
                <w:highlight w:val="none"/>
              </w:rPr>
            </w:pPr>
            <w:r>
              <w:rPr>
                <w:color w:val="auto"/>
                <w:sz w:val="18"/>
                <w:szCs w:val="18"/>
                <w:highlight w:val="none"/>
              </w:rPr>
              <w:t>30&lt;t≤60</w:t>
            </w:r>
          </w:p>
        </w:tc>
        <w:tc>
          <w:tcPr>
            <w:tcW w:w="1429" w:type="dxa"/>
          </w:tcPr>
          <w:p>
            <w:pPr>
              <w:spacing w:before="50" w:after="156"/>
              <w:jc w:val="center"/>
              <w:rPr>
                <w:color w:val="auto"/>
                <w:sz w:val="18"/>
                <w:szCs w:val="18"/>
                <w:highlight w:val="none"/>
              </w:rPr>
            </w:pPr>
            <w:r>
              <w:rPr>
                <w:color w:val="auto"/>
                <w:sz w:val="18"/>
                <w:szCs w:val="18"/>
                <w:highlight w:val="none"/>
              </w:rPr>
              <w:t>1000</w:t>
            </w:r>
          </w:p>
        </w:tc>
        <w:tc>
          <w:tcPr>
            <w:tcW w:w="1500" w:type="dxa"/>
          </w:tcPr>
          <w:p>
            <w:pPr>
              <w:spacing w:before="50" w:after="156"/>
              <w:jc w:val="center"/>
              <w:rPr>
                <w:color w:val="auto"/>
                <w:sz w:val="18"/>
                <w:szCs w:val="18"/>
                <w:highlight w:val="none"/>
              </w:rPr>
            </w:pPr>
            <w:r>
              <w:rPr>
                <w:color w:val="auto"/>
                <w:sz w:val="18"/>
                <w:szCs w:val="18"/>
                <w:highlight w:val="none"/>
              </w:rPr>
              <w:t>600</w:t>
            </w:r>
          </w:p>
        </w:tc>
        <w:tc>
          <w:tcPr>
            <w:tcW w:w="1374" w:type="dxa"/>
          </w:tcPr>
          <w:p>
            <w:pPr>
              <w:spacing w:before="50" w:after="156"/>
              <w:jc w:val="center"/>
              <w:rPr>
                <w:color w:val="auto"/>
                <w:sz w:val="18"/>
                <w:szCs w:val="18"/>
                <w:highlight w:val="none"/>
              </w:rPr>
            </w:pPr>
            <w:r>
              <w:rPr>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1" w:type="dxa"/>
            <w:vMerge w:val="continue"/>
          </w:tcPr>
          <w:p>
            <w:pPr>
              <w:pStyle w:val="14"/>
              <w:widowControl w:val="0"/>
              <w:numPr>
                <w:ilvl w:val="0"/>
                <w:numId w:val="0"/>
              </w:numPr>
              <w:spacing w:before="0" w:after="0" w:line="340" w:lineRule="exact"/>
              <w:jc w:val="center"/>
              <w:rPr>
                <w:rFonts w:ascii="Times New Roman"/>
                <w:color w:val="auto"/>
                <w:sz w:val="18"/>
                <w:szCs w:val="18"/>
                <w:highlight w:val="none"/>
              </w:rPr>
            </w:pPr>
          </w:p>
        </w:tc>
        <w:tc>
          <w:tcPr>
            <w:tcW w:w="1384" w:type="dxa"/>
          </w:tcPr>
          <w:p>
            <w:pPr>
              <w:spacing w:before="50" w:after="156"/>
              <w:jc w:val="center"/>
              <w:rPr>
                <w:color w:val="auto"/>
                <w:sz w:val="18"/>
                <w:szCs w:val="18"/>
                <w:highlight w:val="none"/>
              </w:rPr>
            </w:pPr>
            <w:r>
              <w:rPr>
                <w:color w:val="auto"/>
                <w:sz w:val="18"/>
                <w:szCs w:val="18"/>
                <w:highlight w:val="none"/>
              </w:rPr>
              <w:t>60&lt;t≤100</w:t>
            </w:r>
          </w:p>
        </w:tc>
        <w:tc>
          <w:tcPr>
            <w:tcW w:w="1429" w:type="dxa"/>
          </w:tcPr>
          <w:p>
            <w:pPr>
              <w:spacing w:before="50" w:after="156"/>
              <w:jc w:val="center"/>
              <w:rPr>
                <w:color w:val="auto"/>
                <w:sz w:val="18"/>
                <w:szCs w:val="18"/>
                <w:highlight w:val="none"/>
              </w:rPr>
            </w:pPr>
            <w:r>
              <w:rPr>
                <w:rFonts w:hint="eastAsia"/>
                <w:color w:val="auto"/>
                <w:sz w:val="18"/>
                <w:szCs w:val="18"/>
                <w:highlight w:val="none"/>
              </w:rPr>
              <w:t>980</w:t>
            </w:r>
          </w:p>
        </w:tc>
        <w:tc>
          <w:tcPr>
            <w:tcW w:w="1500" w:type="dxa"/>
          </w:tcPr>
          <w:p>
            <w:pPr>
              <w:spacing w:before="50" w:after="156"/>
              <w:jc w:val="center"/>
              <w:rPr>
                <w:color w:val="auto"/>
                <w:sz w:val="18"/>
                <w:szCs w:val="18"/>
                <w:highlight w:val="none"/>
              </w:rPr>
            </w:pPr>
            <w:r>
              <w:rPr>
                <w:rFonts w:hint="eastAsia"/>
                <w:color w:val="auto"/>
                <w:sz w:val="18"/>
                <w:szCs w:val="18"/>
                <w:highlight w:val="none"/>
              </w:rPr>
              <w:t>580</w:t>
            </w:r>
          </w:p>
        </w:tc>
        <w:tc>
          <w:tcPr>
            <w:tcW w:w="1374" w:type="dxa"/>
          </w:tcPr>
          <w:p>
            <w:pPr>
              <w:spacing w:before="50" w:after="156"/>
              <w:jc w:val="center"/>
              <w:rPr>
                <w:color w:val="auto"/>
                <w:sz w:val="18"/>
                <w:szCs w:val="18"/>
                <w:highlight w:val="none"/>
              </w:rPr>
            </w:pPr>
            <w:r>
              <w:rPr>
                <w:rFonts w:hint="eastAsia"/>
                <w:color w:val="auto"/>
                <w:sz w:val="18"/>
                <w:szCs w:val="18"/>
                <w:highlight w:val="none"/>
              </w:rPr>
              <w:t>5</w:t>
            </w:r>
          </w:p>
        </w:tc>
      </w:tr>
    </w:tbl>
    <w:p>
      <w:pPr>
        <w:pStyle w:val="5"/>
        <w:spacing w:before="0" w:beforeAutospacing="0" w:after="0" w:afterAutospacing="0" w:line="340" w:lineRule="exact"/>
        <w:rPr>
          <w:color w:val="auto"/>
          <w:highlight w:val="none"/>
        </w:rPr>
      </w:pPr>
    </w:p>
    <w:p>
      <w:pPr>
        <w:pStyle w:val="5"/>
        <w:spacing w:before="0" w:beforeAutospacing="0" w:after="0" w:afterAutospacing="0" w:line="340" w:lineRule="exact"/>
        <w:rPr>
          <w:color w:val="auto"/>
          <w:highlight w:val="none"/>
        </w:rPr>
      </w:pPr>
    </w:p>
    <w:p>
      <w:pPr>
        <w:pStyle w:val="12"/>
        <w:ind w:firstLine="0" w:firstLineChars="0"/>
        <w:jc w:val="center"/>
        <w:rPr>
          <w:color w:val="auto"/>
          <w:highlight w:val="none"/>
        </w:rPr>
      </w:pPr>
      <w:r>
        <w:rPr>
          <w:rFonts w:hAnsi="黑体"/>
          <w:color w:val="auto"/>
          <w:szCs w:val="21"/>
          <w:highlight w:val="none"/>
        </w:rPr>
        <w:t>表</w:t>
      </w:r>
      <w:r>
        <w:rPr>
          <w:rFonts w:hint="eastAsia" w:hAnsi="黑体"/>
          <w:color w:val="auto"/>
          <w:szCs w:val="21"/>
          <w:highlight w:val="none"/>
        </w:rPr>
        <w:t>2</w:t>
      </w:r>
      <w:r>
        <w:rPr>
          <w:rFonts w:hAnsi="黑体"/>
          <w:color w:val="auto"/>
          <w:szCs w:val="21"/>
          <w:highlight w:val="none"/>
        </w:rPr>
        <w:t xml:space="preserve">  </w:t>
      </w:r>
      <w:r>
        <w:rPr>
          <w:rFonts w:hint="eastAsia" w:hAnsi="黑体"/>
          <w:color w:val="auto"/>
          <w:szCs w:val="21"/>
          <w:highlight w:val="none"/>
        </w:rPr>
        <w:t>高强度高塑性球墨铸铁的</w:t>
      </w:r>
      <w:r>
        <w:rPr>
          <w:rFonts w:hint="eastAsia" w:hAnsi="Times New Roman"/>
          <w:color w:val="auto"/>
          <w:highlight w:val="none"/>
        </w:rPr>
        <w:t>布氏硬度指导值</w:t>
      </w:r>
    </w:p>
    <w:tbl>
      <w:tblPr>
        <w:tblStyle w:val="6"/>
        <w:tblW w:w="4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211"/>
        <w:gridCol w:w="1211"/>
        <w:gridCol w:w="1448"/>
        <w:gridCol w:w="126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1" w:type="pct"/>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牌号</w:t>
            </w:r>
          </w:p>
        </w:tc>
        <w:tc>
          <w:tcPr>
            <w:tcW w:w="753" w:type="pct"/>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QT700-8</w:t>
            </w:r>
          </w:p>
        </w:tc>
        <w:tc>
          <w:tcPr>
            <w:tcW w:w="753" w:type="pct"/>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QT700-10</w:t>
            </w:r>
          </w:p>
        </w:tc>
        <w:tc>
          <w:tcPr>
            <w:tcW w:w="900" w:type="pct"/>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QT800-5</w:t>
            </w:r>
          </w:p>
        </w:tc>
        <w:tc>
          <w:tcPr>
            <w:tcW w:w="789" w:type="pct"/>
            <w:tcBorders>
              <w:bottom w:val="single" w:color="auto" w:sz="4" w:space="0"/>
            </w:tcBorders>
            <w:vAlign w:val="center"/>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QT900-5</w:t>
            </w:r>
          </w:p>
        </w:tc>
        <w:tc>
          <w:tcPr>
            <w:tcW w:w="791"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QT1000-5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11" w:type="pct"/>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布氏硬度（HBW）</w:t>
            </w:r>
          </w:p>
        </w:tc>
        <w:tc>
          <w:tcPr>
            <w:tcW w:w="753"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220-290</w:t>
            </w:r>
          </w:p>
        </w:tc>
        <w:tc>
          <w:tcPr>
            <w:tcW w:w="753"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200-290</w:t>
            </w:r>
          </w:p>
        </w:tc>
        <w:tc>
          <w:tcPr>
            <w:tcW w:w="900"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240-310</w:t>
            </w:r>
          </w:p>
        </w:tc>
        <w:tc>
          <w:tcPr>
            <w:tcW w:w="789"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250-320</w:t>
            </w:r>
          </w:p>
        </w:tc>
        <w:tc>
          <w:tcPr>
            <w:tcW w:w="791" w:type="pct"/>
            <w:tcBorders>
              <w:bottom w:val="single" w:color="auto" w:sz="4" w:space="0"/>
            </w:tcBorders>
          </w:tcPr>
          <w:p>
            <w:pPr>
              <w:pStyle w:val="14"/>
              <w:widowControl w:val="0"/>
              <w:numPr>
                <w:ilvl w:val="0"/>
                <w:numId w:val="0"/>
              </w:numPr>
              <w:spacing w:before="0" w:after="0" w:line="340" w:lineRule="exact"/>
              <w:jc w:val="center"/>
              <w:rPr>
                <w:rFonts w:ascii="Times New Roman"/>
                <w:color w:val="auto"/>
                <w:sz w:val="18"/>
                <w:szCs w:val="18"/>
                <w:highlight w:val="none"/>
              </w:rPr>
            </w:pPr>
            <w:r>
              <w:rPr>
                <w:rFonts w:hint="eastAsia" w:ascii="Times New Roman"/>
                <w:color w:val="auto"/>
                <w:sz w:val="18"/>
                <w:szCs w:val="18"/>
                <w:highlight w:val="none"/>
              </w:rPr>
              <w:t>270-330</w:t>
            </w:r>
          </w:p>
        </w:tc>
      </w:tr>
    </w:tbl>
    <w:p>
      <w:pPr>
        <w:pStyle w:val="5"/>
        <w:spacing w:before="0" w:beforeAutospacing="0" w:after="0" w:afterAutospacing="0" w:line="340" w:lineRule="exact"/>
        <w:ind w:firstLine="480" w:firstLineChars="200"/>
        <w:rPr>
          <w:color w:val="auto"/>
          <w:highlight w:val="none"/>
        </w:rPr>
      </w:pPr>
    </w:p>
    <w:p>
      <w:pPr>
        <w:spacing w:before="156" w:beforeLines="50" w:after="156" w:afterLines="50" w:line="440" w:lineRule="exact"/>
        <w:ind w:firstLine="480" w:firstLineChars="200"/>
        <w:outlineLvl w:val="0"/>
        <w:rPr>
          <w:color w:val="auto"/>
          <w:highlight w:val="none"/>
        </w:rPr>
      </w:pPr>
      <w:r>
        <w:rPr>
          <w:rFonts w:hint="eastAsia" w:hAnsi="宋体" w:eastAsia="宋体"/>
          <w:color w:val="auto"/>
          <w:sz w:val="24"/>
          <w:highlight w:val="none"/>
        </w:rPr>
        <w:t>解决的主要问题：一方面</w:t>
      </w:r>
      <w:r>
        <w:rPr>
          <w:rFonts w:hAnsi="宋体" w:eastAsia="宋体"/>
          <w:color w:val="auto"/>
          <w:sz w:val="24"/>
          <w:highlight w:val="none"/>
        </w:rPr>
        <w:t>高效化、轻量化、节能化和环保化将是机械行业发展的必然趋势，</w:t>
      </w:r>
      <w:r>
        <w:rPr>
          <w:rFonts w:hint="eastAsia" w:hAnsi="宋体" w:eastAsia="宋体"/>
          <w:color w:val="auto"/>
          <w:sz w:val="24"/>
          <w:highlight w:val="none"/>
        </w:rPr>
        <w:t>对球墨铸铁材料性能和可靠性提出更高要求；另一方面</w:t>
      </w:r>
      <w:r>
        <w:rPr>
          <w:rFonts w:hAnsi="宋体" w:eastAsia="宋体"/>
          <w:color w:val="auto"/>
          <w:sz w:val="24"/>
          <w:highlight w:val="none"/>
        </w:rPr>
        <w:t>随着</w:t>
      </w:r>
      <w:r>
        <w:rPr>
          <w:rFonts w:hint="eastAsia" w:hAnsi="宋体" w:eastAsia="宋体"/>
          <w:color w:val="auto"/>
          <w:sz w:val="24"/>
          <w:highlight w:val="none"/>
        </w:rPr>
        <w:t>高强度</w:t>
      </w:r>
      <w:r>
        <w:rPr>
          <w:rFonts w:hAnsi="宋体" w:eastAsia="宋体"/>
          <w:color w:val="auto"/>
          <w:sz w:val="24"/>
          <w:highlight w:val="none"/>
        </w:rPr>
        <w:t>高塑性球墨铸铁件生产工艺的大幅度提升，</w:t>
      </w:r>
      <w:r>
        <w:rPr>
          <w:rFonts w:hint="eastAsia" w:hAnsi="宋体" w:eastAsia="宋体"/>
          <w:color w:val="auto"/>
          <w:sz w:val="24"/>
          <w:highlight w:val="none"/>
        </w:rPr>
        <w:t>应用越来越广，但</w:t>
      </w:r>
      <w:r>
        <w:rPr>
          <w:rFonts w:hAnsi="宋体" w:eastAsia="宋体"/>
          <w:color w:val="auto"/>
          <w:sz w:val="24"/>
          <w:highlight w:val="none"/>
        </w:rPr>
        <w:t>在GB/T 1348-2019《球墨铸铁件》国家标准中没有体现，无法全面的提供给工程设计单位使用参考的技术规范信息，影响了该材料的广泛推广和发展。</w:t>
      </w:r>
      <w:r>
        <w:rPr>
          <w:rFonts w:hint="eastAsia" w:hAnsi="宋体" w:eastAsia="宋体"/>
          <w:color w:val="auto"/>
          <w:sz w:val="24"/>
          <w:highlight w:val="none"/>
        </w:rPr>
        <w:t>本文件</w:t>
      </w:r>
      <w:r>
        <w:rPr>
          <w:rFonts w:hAnsi="宋体" w:eastAsia="宋体"/>
          <w:color w:val="auto"/>
          <w:sz w:val="24"/>
          <w:highlight w:val="none"/>
        </w:rPr>
        <w:t>解决了</w:t>
      </w:r>
      <w:r>
        <w:rPr>
          <w:rFonts w:hint="eastAsia" w:hAnsi="宋体" w:eastAsia="宋体"/>
          <w:color w:val="auto"/>
          <w:sz w:val="24"/>
          <w:highlight w:val="none"/>
        </w:rPr>
        <w:t>高强度</w:t>
      </w:r>
      <w:r>
        <w:rPr>
          <w:rFonts w:hAnsi="宋体" w:eastAsia="宋体"/>
          <w:color w:val="auto"/>
          <w:sz w:val="24"/>
          <w:highlight w:val="none"/>
        </w:rPr>
        <w:t>高塑性球墨铸铁、固溶强化铁素体球墨铸铁球铁、等温淬火球墨铸铁等牌号不统一的问题，为铸造企业生产</w:t>
      </w:r>
      <w:r>
        <w:rPr>
          <w:rFonts w:hint="eastAsia" w:hAnsi="宋体" w:eastAsia="宋体"/>
          <w:color w:val="auto"/>
          <w:sz w:val="24"/>
          <w:highlight w:val="none"/>
        </w:rPr>
        <w:t>高强度</w:t>
      </w:r>
      <w:r>
        <w:rPr>
          <w:rFonts w:hAnsi="宋体" w:eastAsia="宋体"/>
          <w:color w:val="auto"/>
          <w:sz w:val="24"/>
          <w:highlight w:val="none"/>
        </w:rPr>
        <w:t>高塑性球墨铸铁制定了标准，为机械、汽车等生产厂家提供质量验收依据，促进</w:t>
      </w:r>
      <w:r>
        <w:rPr>
          <w:rFonts w:hint="eastAsia" w:hAnsi="宋体" w:eastAsia="宋体"/>
          <w:color w:val="auto"/>
          <w:sz w:val="24"/>
          <w:highlight w:val="none"/>
        </w:rPr>
        <w:t>高强度</w:t>
      </w:r>
      <w:r>
        <w:rPr>
          <w:rFonts w:hAnsi="宋体" w:eastAsia="宋体"/>
          <w:color w:val="auto"/>
          <w:sz w:val="24"/>
          <w:highlight w:val="none"/>
        </w:rPr>
        <w:t>高塑性球墨铸铁整体水平的提高，为实现标准化和现代化的生产创造条件；</w:t>
      </w:r>
      <w:r>
        <w:rPr>
          <w:rFonts w:hint="eastAsia" w:hAnsi="宋体" w:eastAsia="宋体"/>
          <w:color w:val="auto"/>
          <w:sz w:val="24"/>
          <w:highlight w:val="none"/>
        </w:rPr>
        <w:t>同时更好更权威地为工程设计人员提供设计参考，</w:t>
      </w:r>
      <w:r>
        <w:rPr>
          <w:rFonts w:hAnsi="宋体" w:eastAsia="宋体"/>
          <w:color w:val="auto"/>
          <w:sz w:val="24"/>
          <w:highlight w:val="none"/>
        </w:rPr>
        <w:t>对推动</w:t>
      </w:r>
      <w:r>
        <w:rPr>
          <w:rFonts w:hint="eastAsia" w:hAnsi="宋体" w:eastAsia="宋体"/>
          <w:color w:val="auto"/>
          <w:sz w:val="24"/>
          <w:highlight w:val="none"/>
        </w:rPr>
        <w:t>高强度</w:t>
      </w:r>
      <w:r>
        <w:rPr>
          <w:rFonts w:hAnsi="宋体" w:eastAsia="宋体"/>
          <w:color w:val="auto"/>
          <w:sz w:val="24"/>
          <w:highlight w:val="none"/>
        </w:rPr>
        <w:t>高塑性球墨铸铁行业快速高效发展具有重要意义。</w:t>
      </w:r>
    </w:p>
    <w:p>
      <w:pPr>
        <w:spacing w:before="156" w:beforeLines="50" w:after="156" w:afterLines="50" w:line="44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6.主要试验（或验证）结果的分析报告、技术经济论证，预期达到的经济效果等</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1）针对标准确定的主要内容提出相应的试验、验证、统计数据等论据，</w:t>
      </w:r>
      <w:r>
        <w:rPr>
          <w:rFonts w:hint="eastAsia" w:ascii="黑体" w:hAnsi="黑体" w:eastAsia="黑体"/>
          <w:i/>
          <w:color w:val="auto"/>
          <w:sz w:val="24"/>
          <w:szCs w:val="24"/>
          <w:highlight w:val="none"/>
        </w:rPr>
        <w:t>应将检验报告、试生产验证报告等的扫描件作为附件附后</w:t>
      </w:r>
      <w:r>
        <w:rPr>
          <w:rFonts w:hint="eastAsia" w:ascii="黑体" w:hAnsi="宋体" w:eastAsia="黑体"/>
          <w:color w:val="auto"/>
          <w:sz w:val="24"/>
          <w:szCs w:val="24"/>
          <w:highlight w:val="none"/>
        </w:rPr>
        <w:t>）</w:t>
      </w:r>
    </w:p>
    <w:p>
      <w:pPr>
        <w:spacing w:before="50" w:after="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2）主要试验（或验证）数据分析结果</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（1）QT700-8牌号</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QT700-8企业二，铁型覆砂工艺，铸态本体试样，主要壁厚12-30mm，有效试验数据9组，平均抗拉强度Rm832MPa、屈服强度562MPa、伸长率A 8.9%，达到牌号要求，不合格数据1组，数据达标率为88.89%。下表为企业二试验拉伸性能数据。</w:t>
      </w:r>
    </w:p>
    <w:tbl>
      <w:tblPr>
        <w:tblStyle w:val="6"/>
        <w:tblW w:w="3963" w:type="dxa"/>
        <w:jc w:val="center"/>
        <w:tblLayout w:type="autofit"/>
        <w:tblCellMar>
          <w:top w:w="0" w:type="dxa"/>
          <w:left w:w="108" w:type="dxa"/>
          <w:bottom w:w="0" w:type="dxa"/>
          <w:right w:w="108" w:type="dxa"/>
        </w:tblCellMar>
      </w:tblPr>
      <w:tblGrid>
        <w:gridCol w:w="732"/>
        <w:gridCol w:w="1078"/>
        <w:gridCol w:w="1094"/>
        <w:gridCol w:w="1059"/>
      </w:tblGrid>
      <w:tr>
        <w:tblPrEx>
          <w:tblCellMar>
            <w:top w:w="0" w:type="dxa"/>
            <w:left w:w="108" w:type="dxa"/>
            <w:bottom w:w="0" w:type="dxa"/>
            <w:right w:w="108" w:type="dxa"/>
          </w:tblCellMar>
        </w:tblPrEx>
        <w:trPr>
          <w:trHeight w:val="645" w:hRule="atLeast"/>
          <w:jc w:val="center"/>
        </w:trPr>
        <w:tc>
          <w:tcPr>
            <w:tcW w:w="732" w:type="dxa"/>
            <w:tcBorders>
              <w:top w:val="single" w:color="000000" w:sz="4" w:space="0"/>
              <w:left w:val="single" w:color="000000" w:sz="4" w:space="0"/>
              <w:bottom w:val="single" w:color="000000" w:sz="4" w:space="0"/>
              <w:right w:val="nil"/>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抗拉强度</w:t>
            </w:r>
            <w:r>
              <w:rPr>
                <w:rStyle w:val="22"/>
                <w:rFonts w:eastAsia="宋体"/>
                <w:color w:val="auto"/>
                <w:sz w:val="16"/>
                <w:szCs w:val="16"/>
                <w:highlight w:val="none"/>
                <w:lang w:bidi="ar"/>
              </w:rPr>
              <w:t>R</w:t>
            </w:r>
            <w:r>
              <w:rPr>
                <w:rStyle w:val="23"/>
                <w:rFonts w:eastAsia="宋体"/>
                <w:color w:val="auto"/>
                <w:sz w:val="16"/>
                <w:szCs w:val="16"/>
                <w:highlight w:val="none"/>
                <w:lang w:bidi="ar"/>
              </w:rPr>
              <w:t>m</w:t>
            </w:r>
            <w:r>
              <w:rPr>
                <w:rStyle w:val="22"/>
                <w:rFonts w:eastAsia="宋体"/>
                <w:color w:val="auto"/>
                <w:sz w:val="16"/>
                <w:szCs w:val="16"/>
                <w:highlight w:val="none"/>
                <w:lang w:bidi="ar"/>
              </w:rPr>
              <w:t>/MPa</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屈服强度</w:t>
            </w:r>
            <w:r>
              <w:rPr>
                <w:rStyle w:val="22"/>
                <w:rFonts w:eastAsia="宋体"/>
                <w:color w:val="auto"/>
                <w:sz w:val="16"/>
                <w:szCs w:val="16"/>
                <w:highlight w:val="none"/>
                <w:lang w:bidi="ar"/>
              </w:rPr>
              <w:t>R</w:t>
            </w:r>
            <w:r>
              <w:rPr>
                <w:rStyle w:val="23"/>
                <w:rFonts w:eastAsia="宋体"/>
                <w:color w:val="auto"/>
                <w:sz w:val="16"/>
                <w:szCs w:val="16"/>
                <w:highlight w:val="none"/>
                <w:lang w:bidi="ar"/>
              </w:rPr>
              <w:t>p0.2</w:t>
            </w:r>
            <w:r>
              <w:rPr>
                <w:rStyle w:val="22"/>
                <w:rFonts w:eastAsia="宋体"/>
                <w:color w:val="auto"/>
                <w:sz w:val="16"/>
                <w:szCs w:val="16"/>
                <w:highlight w:val="none"/>
                <w:lang w:bidi="ar"/>
              </w:rPr>
              <w:t>/MPa</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伸长率</w:t>
            </w:r>
            <w:r>
              <w:rPr>
                <w:rStyle w:val="22"/>
                <w:rFonts w:eastAsia="宋体"/>
                <w:color w:val="auto"/>
                <w:sz w:val="16"/>
                <w:szCs w:val="16"/>
                <w:highlight w:val="none"/>
                <w:lang w:bidi="ar"/>
              </w:rPr>
              <w:t>A/%</w:t>
            </w:r>
          </w:p>
        </w:tc>
      </w:tr>
      <w:tr>
        <w:tblPrEx>
          <w:tblCellMar>
            <w:top w:w="0" w:type="dxa"/>
            <w:left w:w="108" w:type="dxa"/>
            <w:bottom w:w="0" w:type="dxa"/>
            <w:right w:w="108" w:type="dxa"/>
          </w:tblCellMar>
        </w:tblPrEx>
        <w:trPr>
          <w:trHeight w:val="28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798.9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548.8</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8.80 </w:t>
            </w:r>
          </w:p>
        </w:tc>
      </w:tr>
      <w:tr>
        <w:tblPrEx>
          <w:tblCellMar>
            <w:top w:w="0" w:type="dxa"/>
            <w:left w:w="108" w:type="dxa"/>
            <w:bottom w:w="0" w:type="dxa"/>
            <w:right w:w="108" w:type="dxa"/>
          </w:tblCellMar>
        </w:tblPrEx>
        <w:trPr>
          <w:trHeight w:val="20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812.5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549.7</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10.00 </w:t>
            </w:r>
          </w:p>
        </w:tc>
      </w:tr>
      <w:tr>
        <w:tblPrEx>
          <w:tblCellMar>
            <w:top w:w="0" w:type="dxa"/>
            <w:left w:w="108" w:type="dxa"/>
            <w:bottom w:w="0" w:type="dxa"/>
            <w:right w:w="108" w:type="dxa"/>
          </w:tblCellMar>
        </w:tblPrEx>
        <w:trPr>
          <w:trHeight w:val="187"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824</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555.6</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9.20 </w:t>
            </w:r>
          </w:p>
        </w:tc>
      </w:tr>
      <w:tr>
        <w:tblPrEx>
          <w:tblCellMar>
            <w:top w:w="0" w:type="dxa"/>
            <w:left w:w="108" w:type="dxa"/>
            <w:bottom w:w="0" w:type="dxa"/>
            <w:right w:w="108" w:type="dxa"/>
          </w:tblCellMar>
        </w:tblPrEx>
        <w:trPr>
          <w:trHeight w:val="24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829.2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617.2</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8.40 </w:t>
            </w:r>
          </w:p>
        </w:tc>
      </w:tr>
      <w:tr>
        <w:tblPrEx>
          <w:tblCellMar>
            <w:top w:w="0" w:type="dxa"/>
            <w:left w:w="108" w:type="dxa"/>
            <w:bottom w:w="0" w:type="dxa"/>
            <w:right w:w="108" w:type="dxa"/>
          </w:tblCellMar>
        </w:tblPrEx>
        <w:trPr>
          <w:trHeight w:val="27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800.9</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637.3</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8.00 </w:t>
            </w:r>
          </w:p>
        </w:tc>
      </w:tr>
      <w:tr>
        <w:tblPrEx>
          <w:tblCellMar>
            <w:top w:w="0" w:type="dxa"/>
            <w:left w:w="108" w:type="dxa"/>
            <w:bottom w:w="0" w:type="dxa"/>
            <w:right w:w="108" w:type="dxa"/>
          </w:tblCellMar>
        </w:tblPrEx>
        <w:trPr>
          <w:trHeight w:val="249"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803.5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536.5</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9.20 </w:t>
            </w:r>
          </w:p>
        </w:tc>
      </w:tr>
      <w:tr>
        <w:tblPrEx>
          <w:tblCellMar>
            <w:top w:w="0" w:type="dxa"/>
            <w:left w:w="108" w:type="dxa"/>
            <w:bottom w:w="0" w:type="dxa"/>
            <w:right w:w="108" w:type="dxa"/>
          </w:tblCellMar>
        </w:tblPrEx>
        <w:trPr>
          <w:trHeight w:val="23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855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599.4</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8.80 </w:t>
            </w:r>
          </w:p>
        </w:tc>
      </w:tr>
      <w:tr>
        <w:tblPrEx>
          <w:tblCellMar>
            <w:top w:w="0" w:type="dxa"/>
            <w:left w:w="108" w:type="dxa"/>
            <w:bottom w:w="0" w:type="dxa"/>
            <w:right w:w="108" w:type="dxa"/>
          </w:tblCellMar>
        </w:tblPrEx>
        <w:trPr>
          <w:trHeight w:val="21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899.5</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597.2</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9.20 </w:t>
            </w:r>
          </w:p>
        </w:tc>
      </w:tr>
      <w:tr>
        <w:tblPrEx>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867.1</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421.9</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sz w:val="16"/>
                <w:szCs w:val="16"/>
                <w:highlight w:val="none"/>
              </w:rPr>
            </w:pPr>
            <w:r>
              <w:rPr>
                <w:rFonts w:ascii="等线" w:hAnsi="等线" w:eastAsia="等线" w:cs="等线"/>
                <w:color w:val="auto"/>
                <w:kern w:val="0"/>
                <w:sz w:val="16"/>
                <w:szCs w:val="16"/>
                <w:highlight w:val="none"/>
                <w:lang w:bidi="ar"/>
              </w:rPr>
              <w:t xml:space="preserve">8.80 </w:t>
            </w:r>
          </w:p>
        </w:tc>
      </w:tr>
      <w:tr>
        <w:tblPrEx>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平均值</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kern w:val="0"/>
                <w:sz w:val="16"/>
                <w:szCs w:val="16"/>
                <w:highlight w:val="none"/>
                <w:lang w:bidi="ar"/>
              </w:rPr>
            </w:pPr>
            <w:r>
              <w:rPr>
                <w:rFonts w:hint="eastAsia" w:ascii="等线" w:hAnsi="等线" w:eastAsia="等线" w:cs="等线"/>
                <w:color w:val="auto"/>
                <w:kern w:val="0"/>
                <w:sz w:val="16"/>
                <w:szCs w:val="16"/>
                <w:highlight w:val="none"/>
                <w:lang w:bidi="ar"/>
              </w:rPr>
              <w:t>832</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kern w:val="0"/>
                <w:sz w:val="16"/>
                <w:szCs w:val="16"/>
                <w:highlight w:val="none"/>
                <w:lang w:bidi="ar"/>
              </w:rPr>
            </w:pPr>
            <w:r>
              <w:rPr>
                <w:rFonts w:hint="eastAsia" w:ascii="等线" w:hAnsi="等线" w:eastAsia="等线" w:cs="等线"/>
                <w:color w:val="auto"/>
                <w:kern w:val="0"/>
                <w:sz w:val="16"/>
                <w:szCs w:val="16"/>
                <w:highlight w:val="none"/>
                <w:lang w:bidi="ar"/>
              </w:rPr>
              <w:t>562</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auto"/>
                <w:kern w:val="0"/>
                <w:sz w:val="16"/>
                <w:szCs w:val="16"/>
                <w:highlight w:val="none"/>
                <w:lang w:bidi="ar"/>
              </w:rPr>
            </w:pPr>
            <w:r>
              <w:rPr>
                <w:rFonts w:hint="eastAsia" w:ascii="等线" w:hAnsi="等线" w:eastAsia="等线" w:cs="等线"/>
                <w:color w:val="auto"/>
                <w:kern w:val="0"/>
                <w:sz w:val="16"/>
                <w:szCs w:val="16"/>
                <w:highlight w:val="none"/>
                <w:lang w:bidi="ar"/>
              </w:rPr>
              <w:t>8.9</w:t>
            </w:r>
          </w:p>
        </w:tc>
      </w:tr>
    </w:tbl>
    <w:p>
      <w:pPr>
        <w:pStyle w:val="5"/>
        <w:spacing w:before="0" w:beforeAutospacing="0" w:after="0" w:afterAutospacing="0" w:line="340" w:lineRule="exact"/>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（2）QT700-10牌号</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QT700-10企业一实验数据，粘土砂流水线，铸件主要壁厚10-20mm，铸态并排试块试样，试验有效数据20组，平均抗拉强度Rm778MPa、屈服强度447MPa、伸长率A 10.4%,平均值达到牌号要求，不合格数据10组，数据达标率为50%。硬度范围HB223-268。下图为试验数据的拉伸性能直观分布图。</w:t>
      </w:r>
    </w:p>
    <w:p>
      <w:pPr>
        <w:pStyle w:val="5"/>
        <w:spacing w:before="0" w:beforeAutospacing="0" w:after="0" w:afterAutospacing="0"/>
        <w:ind w:firstLine="480" w:firstLineChars="200"/>
        <w:jc w:val="center"/>
        <w:rPr>
          <w:rFonts w:eastAsia="仿宋_GB2312" w:cs="Arial"/>
          <w:color w:val="auto"/>
          <w:kern w:val="2"/>
          <w:highlight w:val="none"/>
        </w:rPr>
      </w:pPr>
      <w:r>
        <w:rPr>
          <w:rFonts w:hint="eastAsia" w:eastAsia="仿宋_GB2312" w:cs="Arial"/>
          <w:color w:val="auto"/>
          <w:kern w:val="2"/>
          <w:highlight w:val="none"/>
        </w:rPr>
        <w:drawing>
          <wp:inline distT="0" distB="0" distL="114300" distR="114300">
            <wp:extent cx="2527935" cy="2698750"/>
            <wp:effectExtent l="0" t="0" r="1905" b="13970"/>
            <wp:docPr id="19" name="图片 19" descr="164990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49901599"/>
                    <pic:cNvPicPr>
                      <a:picLocks noChangeAspect="1"/>
                    </pic:cNvPicPr>
                  </pic:nvPicPr>
                  <pic:blipFill>
                    <a:blip r:embed="rId5"/>
                    <a:stretch>
                      <a:fillRect/>
                    </a:stretch>
                  </pic:blipFill>
                  <pic:spPr>
                    <a:xfrm>
                      <a:off x="0" y="0"/>
                      <a:ext cx="2527935" cy="2698750"/>
                    </a:xfrm>
                    <a:prstGeom prst="rect">
                      <a:avLst/>
                    </a:prstGeom>
                  </pic:spPr>
                </pic:pic>
              </a:graphicData>
            </a:graphic>
          </wp:inline>
        </w:drawing>
      </w:r>
    </w:p>
    <w:p>
      <w:pPr>
        <w:pStyle w:val="5"/>
        <w:spacing w:before="0" w:beforeAutospacing="0" w:after="0" w:afterAutospacing="0"/>
        <w:jc w:val="both"/>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QT700-10企业三，铁型覆砂工艺，主要壁厚10-30mm，铸态本体试样，有效试验数据206组，平均抗拉强度Rm720MPa、屈服强度421MPa、伸长率A 10%，平均值达到牌号要求，不合格数据150组，数据达标率为27.18%。下图为企业三试验数据的拉伸性能直观分布图。</w:t>
      </w:r>
    </w:p>
    <w:p>
      <w:pPr>
        <w:pStyle w:val="5"/>
        <w:spacing w:before="0" w:beforeAutospacing="0" w:after="0" w:afterAutospacing="0"/>
        <w:ind w:firstLine="480" w:firstLineChars="200"/>
        <w:jc w:val="center"/>
        <w:rPr>
          <w:color w:val="auto"/>
          <w:highlight w:val="none"/>
        </w:rPr>
      </w:pPr>
      <w:r>
        <w:rPr>
          <w:rFonts w:hint="eastAsia"/>
          <w:color w:val="auto"/>
          <w:highlight w:val="none"/>
        </w:rPr>
        <w:drawing>
          <wp:inline distT="0" distB="0" distL="114300" distR="114300">
            <wp:extent cx="3063875" cy="3884295"/>
            <wp:effectExtent l="0" t="0" r="14605" b="1905"/>
            <wp:docPr id="5" name="图片 5" descr="1651548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1548644(1)"/>
                    <pic:cNvPicPr>
                      <a:picLocks noChangeAspect="1"/>
                    </pic:cNvPicPr>
                  </pic:nvPicPr>
                  <pic:blipFill>
                    <a:blip r:embed="rId6"/>
                    <a:stretch>
                      <a:fillRect/>
                    </a:stretch>
                  </pic:blipFill>
                  <pic:spPr>
                    <a:xfrm>
                      <a:off x="0" y="0"/>
                      <a:ext cx="3063875" cy="3884295"/>
                    </a:xfrm>
                    <a:prstGeom prst="rect">
                      <a:avLst/>
                    </a:prstGeom>
                  </pic:spPr>
                </pic:pic>
              </a:graphicData>
            </a:graphic>
          </wp:inline>
        </w:drawing>
      </w:r>
    </w:p>
    <w:p>
      <w:pPr>
        <w:pStyle w:val="5"/>
        <w:spacing w:before="0" w:beforeAutospacing="0" w:after="0" w:afterAutospacing="0" w:line="340" w:lineRule="exact"/>
        <w:ind w:firstLine="480" w:firstLineChars="200"/>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QT700-10企业三，铁型覆砂工艺，主要壁厚90-120mm，铸态本体试样，有效试验数据56组，平均抗拉强度Rm793.5MPa、屈服强度476MPa、伸长率A 8.2%，平均值达到牌号要求，数据达标率为100%。下图为企业三试验数据的拉伸性能直观分布图。</w:t>
      </w:r>
    </w:p>
    <w:p>
      <w:pPr>
        <w:pStyle w:val="5"/>
        <w:spacing w:before="0" w:beforeAutospacing="0" w:after="0" w:afterAutospacing="0"/>
        <w:ind w:firstLine="480" w:firstLineChars="200"/>
        <w:jc w:val="center"/>
        <w:rPr>
          <w:color w:val="auto"/>
          <w:highlight w:val="none"/>
        </w:rPr>
      </w:pPr>
      <w:r>
        <w:rPr>
          <w:rFonts w:hint="eastAsia"/>
          <w:color w:val="auto"/>
          <w:highlight w:val="none"/>
        </w:rPr>
        <w:drawing>
          <wp:inline distT="0" distB="0" distL="114300" distR="114300">
            <wp:extent cx="3363595" cy="3385820"/>
            <wp:effectExtent l="0" t="0" r="8255" b="5080"/>
            <wp:docPr id="4" name="图片 4" descr="1651547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1547461(1)"/>
                    <pic:cNvPicPr>
                      <a:picLocks noChangeAspect="1"/>
                    </pic:cNvPicPr>
                  </pic:nvPicPr>
                  <pic:blipFill>
                    <a:blip r:embed="rId7"/>
                    <a:stretch>
                      <a:fillRect/>
                    </a:stretch>
                  </pic:blipFill>
                  <pic:spPr>
                    <a:xfrm>
                      <a:off x="0" y="0"/>
                      <a:ext cx="3363595" cy="3385820"/>
                    </a:xfrm>
                    <a:prstGeom prst="rect">
                      <a:avLst/>
                    </a:prstGeom>
                  </pic:spPr>
                </pic:pic>
              </a:graphicData>
            </a:graphic>
          </wp:inline>
        </w:drawing>
      </w:r>
    </w:p>
    <w:p>
      <w:pPr>
        <w:pStyle w:val="5"/>
        <w:spacing w:before="0" w:beforeAutospacing="0" w:after="0" w:afterAutospacing="0"/>
        <w:ind w:firstLine="480" w:firstLineChars="200"/>
        <w:jc w:val="center"/>
        <w:rPr>
          <w:color w:val="auto"/>
          <w:highlight w:val="none"/>
        </w:rPr>
      </w:pPr>
    </w:p>
    <w:p>
      <w:pPr>
        <w:pStyle w:val="5"/>
        <w:spacing w:before="0" w:beforeAutospacing="0" w:after="0" w:afterAutospacing="0" w:line="340" w:lineRule="exact"/>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（3）QT800-5牌号</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QT800-5企业二，铁模覆砂，铸件主要壁厚12-30mm，铸态本体试样，有效试验数据122组，平均抗拉强度Rm885.58MPa、屈服强度556.99MPa、伸长率A 6.58%,平均值达到牌号要求，数据达标率为100%。下图为企业二QT800-5试验数据的拉伸性能直观分布图。</w:t>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4058920" cy="3310890"/>
            <wp:effectExtent l="0" t="0" r="17780" b="3810"/>
            <wp:docPr id="9" name="图片 9" descr="164224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247000(1)"/>
                    <pic:cNvPicPr>
                      <a:picLocks noChangeAspect="1"/>
                    </pic:cNvPicPr>
                  </pic:nvPicPr>
                  <pic:blipFill>
                    <a:blip r:embed="rId8"/>
                    <a:stretch>
                      <a:fillRect/>
                    </a:stretch>
                  </pic:blipFill>
                  <pic:spPr>
                    <a:xfrm>
                      <a:off x="0" y="0"/>
                      <a:ext cx="4058920" cy="3310890"/>
                    </a:xfrm>
                    <a:prstGeom prst="rect">
                      <a:avLst/>
                    </a:prstGeom>
                  </pic:spPr>
                </pic:pic>
              </a:graphicData>
            </a:graphic>
          </wp:inline>
        </w:drawing>
      </w:r>
    </w:p>
    <w:p>
      <w:pPr>
        <w:spacing w:before="156" w:beforeLines="50" w:after="156" w:afterLines="50" w:line="440" w:lineRule="exact"/>
        <w:ind w:firstLine="480" w:firstLineChars="200"/>
        <w:outlineLvl w:val="0"/>
        <w:rPr>
          <w:color w:val="auto"/>
          <w:highlight w:val="none"/>
        </w:rPr>
      </w:pPr>
      <w:r>
        <w:rPr>
          <w:rFonts w:hint="eastAsia" w:hAnsi="宋体" w:eastAsia="宋体"/>
          <w:color w:val="auto"/>
          <w:sz w:val="24"/>
          <w:highlight w:val="none"/>
        </w:rPr>
        <w:t>QT800-5企业四，铁模覆砂，铸件主要壁厚10-30mm，铸态20mm铸造试棒，有效试验数据117组，平均抗拉强度Rm885.9MPa、屈服强度565.3MPa、伸长率A 6.0%,平均值达到牌号要求，数据达标率为100%。硬度范围HB241-301。下图为企业四QT800-5试验数据的拉伸性能直观分布图。</w:t>
      </w:r>
    </w:p>
    <w:p>
      <w:pPr>
        <w:pStyle w:val="5"/>
        <w:spacing w:before="0" w:beforeAutospacing="0" w:after="0" w:afterAutospacing="0"/>
        <w:ind w:firstLine="480" w:firstLineChars="200"/>
        <w:jc w:val="center"/>
        <w:rPr>
          <w:rFonts w:eastAsia="仿宋_GB2312" w:cs="Arial"/>
          <w:color w:val="auto"/>
          <w:kern w:val="2"/>
          <w:highlight w:val="none"/>
        </w:rPr>
      </w:pPr>
      <w:r>
        <w:rPr>
          <w:rFonts w:hint="eastAsia" w:eastAsia="仿宋_GB2312" w:cs="Arial"/>
          <w:color w:val="auto"/>
          <w:kern w:val="2"/>
          <w:highlight w:val="none"/>
        </w:rPr>
        <w:drawing>
          <wp:inline distT="0" distB="0" distL="114300" distR="114300">
            <wp:extent cx="3826510" cy="1418590"/>
            <wp:effectExtent l="0" t="0" r="2540" b="10160"/>
            <wp:docPr id="10" name="图片 10" descr="1642250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42250554(1)"/>
                    <pic:cNvPicPr>
                      <a:picLocks noChangeAspect="1"/>
                    </pic:cNvPicPr>
                  </pic:nvPicPr>
                  <pic:blipFill>
                    <a:blip r:embed="rId9"/>
                    <a:stretch>
                      <a:fillRect/>
                    </a:stretch>
                  </pic:blipFill>
                  <pic:spPr>
                    <a:xfrm>
                      <a:off x="0" y="0"/>
                      <a:ext cx="3826510" cy="1418590"/>
                    </a:xfrm>
                    <a:prstGeom prst="rect">
                      <a:avLst/>
                    </a:prstGeom>
                  </pic:spPr>
                </pic:pic>
              </a:graphicData>
            </a:graphic>
          </wp:inline>
        </w:drawing>
      </w:r>
    </w:p>
    <w:p>
      <w:pPr>
        <w:pStyle w:val="5"/>
        <w:spacing w:before="0" w:beforeAutospacing="0" w:after="0" w:afterAutospacing="0"/>
        <w:ind w:firstLine="480" w:firstLineChars="200"/>
        <w:jc w:val="center"/>
        <w:rPr>
          <w:rFonts w:eastAsia="仿宋_GB2312" w:cs="Arial"/>
          <w:color w:val="auto"/>
          <w:kern w:val="2"/>
          <w:highlight w:val="none"/>
        </w:rPr>
      </w:pPr>
      <w:r>
        <w:rPr>
          <w:rFonts w:hint="eastAsia" w:eastAsia="仿宋_GB2312" w:cs="Arial"/>
          <w:color w:val="auto"/>
          <w:kern w:val="2"/>
          <w:highlight w:val="none"/>
        </w:rPr>
        <w:drawing>
          <wp:inline distT="0" distB="0" distL="114300" distR="114300">
            <wp:extent cx="3770630" cy="1356360"/>
            <wp:effectExtent l="0" t="0" r="1270" b="15240"/>
            <wp:docPr id="11" name="图片 11" descr="1642250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42250664(1)"/>
                    <pic:cNvPicPr>
                      <a:picLocks noChangeAspect="1"/>
                    </pic:cNvPicPr>
                  </pic:nvPicPr>
                  <pic:blipFill>
                    <a:blip r:embed="rId10"/>
                    <a:stretch>
                      <a:fillRect/>
                    </a:stretch>
                  </pic:blipFill>
                  <pic:spPr>
                    <a:xfrm>
                      <a:off x="0" y="0"/>
                      <a:ext cx="3770630" cy="1356360"/>
                    </a:xfrm>
                    <a:prstGeom prst="rect">
                      <a:avLst/>
                    </a:prstGeom>
                  </pic:spPr>
                </pic:pic>
              </a:graphicData>
            </a:graphic>
          </wp:inline>
        </w:drawing>
      </w:r>
    </w:p>
    <w:p>
      <w:pPr>
        <w:pStyle w:val="5"/>
        <w:spacing w:before="0" w:beforeAutospacing="0" w:after="0" w:afterAutospacing="0"/>
        <w:ind w:firstLine="480" w:firstLineChars="200"/>
        <w:jc w:val="center"/>
        <w:rPr>
          <w:rFonts w:eastAsia="仿宋_GB2312" w:cs="Arial"/>
          <w:color w:val="auto"/>
          <w:kern w:val="2"/>
          <w:highlight w:val="none"/>
        </w:rPr>
      </w:pPr>
      <w:r>
        <w:rPr>
          <w:rFonts w:hint="eastAsia" w:eastAsia="仿宋_GB2312" w:cs="Arial"/>
          <w:color w:val="auto"/>
          <w:kern w:val="2"/>
          <w:highlight w:val="none"/>
        </w:rPr>
        <w:drawing>
          <wp:inline distT="0" distB="0" distL="114300" distR="114300">
            <wp:extent cx="3788410" cy="1038225"/>
            <wp:effectExtent l="0" t="0" r="2540" b="9525"/>
            <wp:docPr id="12" name="图片 12" descr="1642250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2250768(1)"/>
                    <pic:cNvPicPr>
                      <a:picLocks noChangeAspect="1"/>
                    </pic:cNvPicPr>
                  </pic:nvPicPr>
                  <pic:blipFill>
                    <a:blip r:embed="rId11"/>
                    <a:stretch>
                      <a:fillRect/>
                    </a:stretch>
                  </pic:blipFill>
                  <pic:spPr>
                    <a:xfrm>
                      <a:off x="0" y="0"/>
                      <a:ext cx="3788410" cy="1038225"/>
                    </a:xfrm>
                    <a:prstGeom prst="rect">
                      <a:avLst/>
                    </a:prstGeom>
                  </pic:spPr>
                </pic:pic>
              </a:graphicData>
            </a:graphic>
          </wp:inline>
        </w:drawing>
      </w:r>
    </w:p>
    <w:p>
      <w:pPr>
        <w:pStyle w:val="5"/>
        <w:spacing w:before="0" w:beforeAutospacing="0" w:after="0" w:afterAutospacing="0" w:line="340" w:lineRule="exact"/>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（4）QT900-5牌号</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QT900-5企业三，铁模覆砂，铸件主要壁厚20-30mm，本体取样，正火态，有效试验数据97组，平均抗拉强度Rm949MPa、屈服强度562MPa、伸长率A 5.9%,平均值达到牌号要求，数据达标率为94.85%。硬度范围HB275-319。下图为企业四QT900-5试验数据的拉伸性能直观分布图。</w:t>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4251960" cy="1259205"/>
            <wp:effectExtent l="0" t="0" r="15240" b="17145"/>
            <wp:docPr id="1" name="图片 1" descr="1642297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2297392(1)"/>
                    <pic:cNvPicPr>
                      <a:picLocks noChangeAspect="1"/>
                    </pic:cNvPicPr>
                  </pic:nvPicPr>
                  <pic:blipFill>
                    <a:blip r:embed="rId12"/>
                    <a:stretch>
                      <a:fillRect/>
                    </a:stretch>
                  </pic:blipFill>
                  <pic:spPr>
                    <a:xfrm>
                      <a:off x="0" y="0"/>
                      <a:ext cx="4251960" cy="1259205"/>
                    </a:xfrm>
                    <a:prstGeom prst="rect">
                      <a:avLst/>
                    </a:prstGeom>
                  </pic:spPr>
                </pic:pic>
              </a:graphicData>
            </a:graphic>
          </wp:inline>
        </w:drawing>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4024630" cy="1122045"/>
            <wp:effectExtent l="0" t="0" r="13970" b="1905"/>
            <wp:docPr id="2" name="图片 2" descr="1642297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2297528(1)"/>
                    <pic:cNvPicPr>
                      <a:picLocks noChangeAspect="1"/>
                    </pic:cNvPicPr>
                  </pic:nvPicPr>
                  <pic:blipFill>
                    <a:blip r:embed="rId13"/>
                    <a:stretch>
                      <a:fillRect/>
                    </a:stretch>
                  </pic:blipFill>
                  <pic:spPr>
                    <a:xfrm>
                      <a:off x="0" y="0"/>
                      <a:ext cx="4024630" cy="1122045"/>
                    </a:xfrm>
                    <a:prstGeom prst="rect">
                      <a:avLst/>
                    </a:prstGeom>
                  </pic:spPr>
                </pic:pic>
              </a:graphicData>
            </a:graphic>
          </wp:inline>
        </w:drawing>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3983990" cy="1550035"/>
            <wp:effectExtent l="0" t="0" r="16510" b="12065"/>
            <wp:docPr id="7" name="图片 7" descr="1642297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2297779(1)"/>
                    <pic:cNvPicPr>
                      <a:picLocks noChangeAspect="1"/>
                    </pic:cNvPicPr>
                  </pic:nvPicPr>
                  <pic:blipFill>
                    <a:blip r:embed="rId14"/>
                    <a:stretch>
                      <a:fillRect/>
                    </a:stretch>
                  </pic:blipFill>
                  <pic:spPr>
                    <a:xfrm>
                      <a:off x="0" y="0"/>
                      <a:ext cx="3983990" cy="1550035"/>
                    </a:xfrm>
                    <a:prstGeom prst="rect">
                      <a:avLst/>
                    </a:prstGeom>
                  </pic:spPr>
                </pic:pic>
              </a:graphicData>
            </a:graphic>
          </wp:inline>
        </w:drawing>
      </w:r>
    </w:p>
    <w:p>
      <w:pPr>
        <w:pStyle w:val="5"/>
        <w:spacing w:before="0" w:beforeAutospacing="0" w:after="0" w:afterAutospacing="0"/>
        <w:jc w:val="center"/>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（5）QT1000-5牌号</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QT1000-5企业三，铁模覆砂，铸件主要壁厚60&lt;t≤100mm，本体取样，正火态，有效试验数据154组，平均抗拉强度Rm1019.38MPa、屈服强度605.54MPa、伸长率A 5.5%,平均值达到牌号要求，8组数据不达标，数据达标率为94.8%。硬度范围HB292-329。下图为企业四QT1000-5试验数据的拉伸性能直观分布图。</w:t>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3535680" cy="1027430"/>
            <wp:effectExtent l="0" t="0" r="7620" b="1270"/>
            <wp:docPr id="17" name="图片 17" descr="1642302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42302838(1)"/>
                    <pic:cNvPicPr>
                      <a:picLocks noChangeAspect="1"/>
                    </pic:cNvPicPr>
                  </pic:nvPicPr>
                  <pic:blipFill>
                    <a:blip r:embed="rId15"/>
                    <a:stretch>
                      <a:fillRect/>
                    </a:stretch>
                  </pic:blipFill>
                  <pic:spPr>
                    <a:xfrm>
                      <a:off x="0" y="0"/>
                      <a:ext cx="3535680" cy="1027430"/>
                    </a:xfrm>
                    <a:prstGeom prst="rect">
                      <a:avLst/>
                    </a:prstGeom>
                  </pic:spPr>
                </pic:pic>
              </a:graphicData>
            </a:graphic>
          </wp:inline>
        </w:drawing>
      </w:r>
    </w:p>
    <w:p>
      <w:pPr>
        <w:pStyle w:val="5"/>
        <w:spacing w:before="0" w:beforeAutospacing="0" w:after="0" w:afterAutospacing="0"/>
        <w:jc w:val="center"/>
        <w:rPr>
          <w:color w:val="auto"/>
          <w:highlight w:val="none"/>
        </w:rPr>
      </w:pPr>
      <w:r>
        <w:rPr>
          <w:rFonts w:hint="eastAsia"/>
          <w:color w:val="auto"/>
          <w:highlight w:val="none"/>
        </w:rPr>
        <w:drawing>
          <wp:inline distT="0" distB="0" distL="114300" distR="114300">
            <wp:extent cx="3564255" cy="2116455"/>
            <wp:effectExtent l="0" t="0" r="17145" b="17145"/>
            <wp:docPr id="15" name="图片 15" descr="1642301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42301211(1)"/>
                    <pic:cNvPicPr>
                      <a:picLocks noChangeAspect="1"/>
                    </pic:cNvPicPr>
                  </pic:nvPicPr>
                  <pic:blipFill>
                    <a:blip r:embed="rId16"/>
                    <a:stretch>
                      <a:fillRect/>
                    </a:stretch>
                  </pic:blipFill>
                  <pic:spPr>
                    <a:xfrm>
                      <a:off x="0" y="0"/>
                      <a:ext cx="3564255" cy="2116455"/>
                    </a:xfrm>
                    <a:prstGeom prst="rect">
                      <a:avLst/>
                    </a:prstGeom>
                  </pic:spPr>
                </pic:pic>
              </a:graphicData>
            </a:graphic>
          </wp:inline>
        </w:drawing>
      </w:r>
      <w:r>
        <w:rPr>
          <w:rFonts w:hint="eastAsia"/>
          <w:color w:val="auto"/>
          <w:highlight w:val="none"/>
        </w:rPr>
        <w:drawing>
          <wp:inline distT="0" distB="0" distL="114300" distR="114300">
            <wp:extent cx="3701415" cy="2005330"/>
            <wp:effectExtent l="0" t="0" r="13335" b="13970"/>
            <wp:docPr id="16" name="图片 16" descr="1642301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42301721(1)"/>
                    <pic:cNvPicPr>
                      <a:picLocks noChangeAspect="1"/>
                    </pic:cNvPicPr>
                  </pic:nvPicPr>
                  <pic:blipFill>
                    <a:blip r:embed="rId17"/>
                    <a:stretch>
                      <a:fillRect/>
                    </a:stretch>
                  </pic:blipFill>
                  <pic:spPr>
                    <a:xfrm>
                      <a:off x="0" y="0"/>
                      <a:ext cx="3701415" cy="2005330"/>
                    </a:xfrm>
                    <a:prstGeom prst="rect">
                      <a:avLst/>
                    </a:prstGeom>
                  </pic:spPr>
                </pic:pic>
              </a:graphicData>
            </a:graphic>
          </wp:inline>
        </w:drawing>
      </w:r>
    </w:p>
    <w:p>
      <w:pPr>
        <w:pStyle w:val="5"/>
        <w:spacing w:before="0" w:beforeAutospacing="0" w:after="0" w:afterAutospacing="0"/>
        <w:jc w:val="center"/>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各牌号的拉伸性能数据分析汇总见下表。</w:t>
      </w:r>
    </w:p>
    <w:p>
      <w:pPr>
        <w:pStyle w:val="5"/>
        <w:spacing w:before="0" w:beforeAutospacing="0" w:after="0" w:afterAutospacing="0" w:line="340" w:lineRule="exact"/>
        <w:rPr>
          <w:rFonts w:cs="Arial"/>
          <w:color w:val="auto"/>
          <w:highlight w:val="none"/>
        </w:rPr>
      </w:pPr>
    </w:p>
    <w:tbl>
      <w:tblPr>
        <w:tblStyle w:val="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962"/>
        <w:gridCol w:w="1020"/>
        <w:gridCol w:w="1095"/>
        <w:gridCol w:w="1102"/>
        <w:gridCol w:w="909"/>
        <w:gridCol w:w="847"/>
        <w:gridCol w:w="111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牌号</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生产企业</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试样数量（组）</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抗拉强度MPa平均值</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屈服强度MPa平均值</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伸长率%</w:t>
            </w:r>
          </w:p>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平均值</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数据达标率%</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试样类型</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铸件主要壁厚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QT700-8</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湖北普洱</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832</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562</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8.9</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88.98</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本体试样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12-30mm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QT700-10</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山东宇信</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20</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778</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447</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10.4</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50</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并排试块</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QT700-10</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广西玉柴</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206</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720</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421</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27</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本体试样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12-30mm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QT700-10</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广西玉柴</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56</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793</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476</w:t>
            </w:r>
          </w:p>
        </w:tc>
        <w:tc>
          <w:tcPr>
            <w:tcW w:w="909" w:type="dxa"/>
            <w:shd w:val="clear" w:color="auto" w:fill="auto"/>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8.2</w:t>
            </w:r>
          </w:p>
        </w:tc>
        <w:tc>
          <w:tcPr>
            <w:tcW w:w="847" w:type="dxa"/>
            <w:shd w:val="clear" w:color="auto" w:fill="auto"/>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100</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本体试样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90-120mm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QT800-5</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湖北普洱</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122</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885.58</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556.99</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6.58</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100</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本体试样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12-30mm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QT800-5</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江苏汤臣</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117</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885.9</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565.3</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6.0</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100</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并排试块</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QT900-5</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广西玉柴</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97</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949</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562</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5.9</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94.85</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本体取样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20-30mm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4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QT1000-5</w:t>
            </w:r>
          </w:p>
        </w:tc>
        <w:tc>
          <w:tcPr>
            <w:tcW w:w="96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广西玉柴</w:t>
            </w:r>
          </w:p>
        </w:tc>
        <w:tc>
          <w:tcPr>
            <w:tcW w:w="1020"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154</w:t>
            </w:r>
          </w:p>
        </w:tc>
        <w:tc>
          <w:tcPr>
            <w:tcW w:w="1095"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1019.38</w:t>
            </w:r>
          </w:p>
        </w:tc>
        <w:tc>
          <w:tcPr>
            <w:tcW w:w="110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605.54</w:t>
            </w:r>
          </w:p>
        </w:tc>
        <w:tc>
          <w:tcPr>
            <w:tcW w:w="909"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5.5</w:t>
            </w:r>
          </w:p>
        </w:tc>
        <w:tc>
          <w:tcPr>
            <w:tcW w:w="847"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94.8</w:t>
            </w:r>
          </w:p>
        </w:tc>
        <w:tc>
          <w:tcPr>
            <w:tcW w:w="1112"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本体取样</w:t>
            </w:r>
          </w:p>
        </w:tc>
        <w:tc>
          <w:tcPr>
            <w:tcW w:w="1304" w:type="dxa"/>
          </w:tcPr>
          <w:p>
            <w:pPr>
              <w:pStyle w:val="5"/>
              <w:spacing w:before="0" w:beforeAutospacing="0" w:after="0" w:afterAutospacing="0" w:line="340" w:lineRule="exact"/>
              <w:jc w:val="center"/>
              <w:rPr>
                <w:color w:val="auto"/>
                <w:sz w:val="18"/>
                <w:szCs w:val="18"/>
                <w:highlight w:val="none"/>
              </w:rPr>
            </w:pPr>
            <w:r>
              <w:rPr>
                <w:rFonts w:hint="eastAsia"/>
                <w:color w:val="auto"/>
                <w:sz w:val="18"/>
                <w:szCs w:val="18"/>
                <w:highlight w:val="none"/>
              </w:rPr>
              <w:t>60&lt;t≤100mm</w:t>
            </w:r>
          </w:p>
        </w:tc>
      </w:tr>
    </w:tbl>
    <w:p>
      <w:pPr>
        <w:pStyle w:val="5"/>
        <w:spacing w:before="0" w:beforeAutospacing="0" w:after="0" w:afterAutospacing="0" w:line="340" w:lineRule="exact"/>
        <w:ind w:firstLine="480" w:firstLineChars="200"/>
        <w:rPr>
          <w:color w:val="auto"/>
          <w:highlight w:val="none"/>
        </w:rPr>
      </w:pP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根据国内的原辅材料，熔炼、铸造与热处理设备和工艺以及掌握的技术，完全可以生产出牌号为QT 700-8、QT 700-10、QT 800-5、QT 900-5、QTD 1000-5的高强度高塑性球墨铸铁件。本标准设置的牌号及所规定的技术指标是合理的。</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按照本标准生产，必须注意选用合格的原辅材料，严格控制铸造和热处理工艺，以保证工艺和产品质量的稳定性和可靠性。其中QT700-10牌号有两列数据的达标率分别为50%和27%，除了与本体取样有关，也说明达到本标准并非轻而易举之事，必须经过努力才能稳定达到。这也表明本标准所订的技术指标是先进的。</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QT700-10牌号是在保证伸长率10%高塑性的前提下提高强度来满足汽车底盘零部件的需求开发出来的，标准技术指标的确定为企业未来的技术发展留有一定空间，使标准具有一定的前瞻性。</w:t>
      </w:r>
    </w:p>
    <w:p>
      <w:pPr>
        <w:spacing w:before="156" w:beforeLines="50" w:after="156" w:afterLines="50" w:line="440" w:lineRule="exact"/>
        <w:ind w:firstLine="480" w:firstLineChars="200"/>
        <w:outlineLvl w:val="0"/>
        <w:rPr>
          <w:color w:val="auto"/>
          <w:highlight w:val="none"/>
        </w:rPr>
      </w:pPr>
      <w:r>
        <w:rPr>
          <w:rFonts w:hint="eastAsia" w:hAnsi="宋体" w:eastAsia="宋体"/>
          <w:color w:val="auto"/>
          <w:sz w:val="24"/>
          <w:highlight w:val="none"/>
        </w:rPr>
        <w:t>通过大量的试验数据证明，本标准规定的各牌号的拉伸性能指标是合理的、先进的。</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3）技术经济论证</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（在成本分析、计算、比较的基础上，进行定量或定性评价，证明技术上可行、经济上合理）</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以本项目的QT900-5、QT800-5、QT700-10材料为例，材料成本和国标牌号中的各种球墨铸铁材料成本相当，QT</w:t>
      </w:r>
      <w:r>
        <w:rPr>
          <w:rFonts w:hAnsi="宋体" w:eastAsia="宋体"/>
          <w:color w:val="auto"/>
          <w:sz w:val="24"/>
          <w:highlight w:val="none"/>
        </w:rPr>
        <w:t>9</w:t>
      </w:r>
      <w:r>
        <w:rPr>
          <w:rFonts w:hint="eastAsia" w:hAnsi="宋体" w:eastAsia="宋体"/>
          <w:color w:val="auto"/>
          <w:sz w:val="24"/>
          <w:highlight w:val="none"/>
        </w:rPr>
        <w:t>00-5相比42CrMo低合金锻钢，成本比其低30%左右，并且强度相当，仅仅是屈服强度和延伸率没有42CrMo好，但是材料密度仅为42CrMo的90%左右，可以更加轻量化，在高爆压柴油机曲轴、机器人减速器等领域应用的应用正在逐步加大。</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对比ADI材料，QT1000-5节约了0.2-0.3%的钼、1%左右的镍，并且不用等温淬火，仅需要正火处理，对热处理设备要求较低，工艺控制难度低，对企业硬件要求不高，因此成本能够满足工业基本需求。</w:t>
      </w:r>
    </w:p>
    <w:p>
      <w:pPr>
        <w:spacing w:before="156" w:beforeLines="50" w:after="156" w:afterLines="50" w:line="440" w:lineRule="exact"/>
        <w:ind w:firstLine="480" w:firstLineChars="200"/>
        <w:outlineLvl w:val="0"/>
        <w:rPr>
          <w:color w:val="auto"/>
          <w:highlight w:val="none"/>
        </w:rPr>
      </w:pPr>
      <w:r>
        <w:rPr>
          <w:rFonts w:hint="eastAsia" w:hAnsi="宋体" w:eastAsia="宋体"/>
          <w:color w:val="auto"/>
          <w:sz w:val="24"/>
          <w:highlight w:val="none"/>
        </w:rPr>
        <w:t>项目通过实践检验，对传统铸钢件、锻钢件的替代，故障率有效降低，制造成本和售价都低于同类性能牌号材料，在国内具有较高的市场竞争力。</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4）预期的社会/经济效益分析</w:t>
      </w:r>
    </w:p>
    <w:p>
      <w:pPr>
        <w:spacing w:before="156" w:beforeLines="50" w:after="156" w:afterLines="50" w:line="440" w:lineRule="exact"/>
        <w:ind w:firstLine="480" w:firstLineChars="200"/>
        <w:outlineLvl w:val="0"/>
        <w:rPr>
          <w:color w:val="auto"/>
          <w:highlight w:val="none"/>
        </w:rPr>
      </w:pPr>
      <w:r>
        <w:rPr>
          <w:rFonts w:hint="eastAsia" w:hAnsi="宋体" w:eastAsia="宋体"/>
          <w:color w:val="auto"/>
          <w:sz w:val="24"/>
          <w:highlight w:val="none"/>
        </w:rPr>
        <w:t>在商用车领域，应用QT700-10、QT900-5球墨铸铁材料，对公路牵引车、载货车、渣土车、矿山自卸车等车型的应用情况如下表：</w:t>
      </w:r>
    </w:p>
    <w:tbl>
      <w:tblPr>
        <w:tblStyle w:val="6"/>
        <w:tblW w:w="8936" w:type="dxa"/>
        <w:jc w:val="center"/>
        <w:tblLayout w:type="fixed"/>
        <w:tblCellMar>
          <w:top w:w="0" w:type="dxa"/>
          <w:left w:w="108" w:type="dxa"/>
          <w:bottom w:w="0" w:type="dxa"/>
          <w:right w:w="108" w:type="dxa"/>
        </w:tblCellMar>
      </w:tblPr>
      <w:tblGrid>
        <w:gridCol w:w="1696"/>
        <w:gridCol w:w="856"/>
        <w:gridCol w:w="1047"/>
        <w:gridCol w:w="1306"/>
        <w:gridCol w:w="1101"/>
        <w:gridCol w:w="1437"/>
        <w:gridCol w:w="1493"/>
      </w:tblGrid>
      <w:tr>
        <w:tblPrEx>
          <w:tblCellMar>
            <w:top w:w="0" w:type="dxa"/>
            <w:left w:w="108" w:type="dxa"/>
            <w:bottom w:w="0" w:type="dxa"/>
            <w:right w:w="108" w:type="dxa"/>
          </w:tblCellMar>
        </w:tblPrEx>
        <w:trPr>
          <w:trHeight w:val="529"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　</w:t>
            </w:r>
          </w:p>
        </w:tc>
        <w:tc>
          <w:tcPr>
            <w:tcW w:w="856"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套</w:t>
            </w:r>
          </w:p>
        </w:tc>
        <w:tc>
          <w:tcPr>
            <w:tcW w:w="104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产量（吨）</w:t>
            </w:r>
          </w:p>
        </w:tc>
        <w:tc>
          <w:tcPr>
            <w:tcW w:w="1306"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汽车数量（台）</w:t>
            </w:r>
          </w:p>
        </w:tc>
        <w:tc>
          <w:tcPr>
            <w:tcW w:w="1101"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产值   （万元）</w:t>
            </w:r>
          </w:p>
        </w:tc>
        <w:tc>
          <w:tcPr>
            <w:tcW w:w="143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节约材料（吨）</w:t>
            </w:r>
          </w:p>
        </w:tc>
        <w:tc>
          <w:tcPr>
            <w:tcW w:w="1493"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材料节约金额（万元）</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H7牵引车</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182061</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9621</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91031</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9647</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10849</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11392</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H7/M3渣土车</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69263</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4641</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34632</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4641</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2725</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2862</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H7/M5自卸车</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58786</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4291</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29393</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4291</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2311</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2426</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出口载货车</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2395</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108</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1198</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108</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78</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82</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乘用车</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178545</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4107</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178545</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4090</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357</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375</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其他</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5980</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718</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4983</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736</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89</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93</w:t>
            </w:r>
          </w:p>
        </w:tc>
      </w:tr>
      <w:tr>
        <w:tblPrEx>
          <w:tblCellMar>
            <w:top w:w="0" w:type="dxa"/>
            <w:left w:w="108" w:type="dxa"/>
            <w:bottom w:w="0" w:type="dxa"/>
            <w:right w:w="108" w:type="dxa"/>
          </w:tblCellMar>
        </w:tblPrEx>
        <w:trPr>
          <w:trHeight w:val="238" w:hRule="atLeast"/>
          <w:jc w:val="center"/>
        </w:trPr>
        <w:tc>
          <w:tcPr>
            <w:tcW w:w="1696" w:type="dxa"/>
            <w:tcBorders>
              <w:top w:val="nil"/>
              <w:left w:val="single" w:color="auto" w:sz="4" w:space="0"/>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　</w:t>
            </w:r>
          </w:p>
        </w:tc>
        <w:tc>
          <w:tcPr>
            <w:tcW w:w="856" w:type="dxa"/>
            <w:tcBorders>
              <w:top w:val="nil"/>
              <w:left w:val="nil"/>
              <w:bottom w:val="single" w:color="auto" w:sz="4" w:space="0"/>
              <w:right w:val="single" w:color="auto" w:sz="4" w:space="0"/>
            </w:tcBorders>
            <w:noWrap/>
            <w:vAlign w:val="center"/>
          </w:tcPr>
          <w:p>
            <w:pPr>
              <w:pStyle w:val="5"/>
              <w:spacing w:before="0" w:beforeAutospacing="0" w:after="0" w:afterAutospacing="0"/>
              <w:rPr>
                <w:color w:val="auto"/>
                <w:sz w:val="18"/>
                <w:szCs w:val="18"/>
                <w:highlight w:val="none"/>
              </w:rPr>
            </w:pPr>
            <w:r>
              <w:rPr>
                <w:rFonts w:hint="eastAsia"/>
                <w:color w:val="auto"/>
                <w:sz w:val="18"/>
                <w:szCs w:val="18"/>
                <w:highlight w:val="none"/>
              </w:rPr>
              <w:t>497031</w:t>
            </w:r>
          </w:p>
        </w:tc>
        <w:tc>
          <w:tcPr>
            <w:tcW w:w="104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23485</w:t>
            </w:r>
          </w:p>
        </w:tc>
        <w:tc>
          <w:tcPr>
            <w:tcW w:w="1306"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339781</w:t>
            </w:r>
          </w:p>
        </w:tc>
        <w:tc>
          <w:tcPr>
            <w:tcW w:w="1101"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23513</w:t>
            </w:r>
          </w:p>
        </w:tc>
        <w:tc>
          <w:tcPr>
            <w:tcW w:w="1437"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16409</w:t>
            </w:r>
          </w:p>
        </w:tc>
        <w:tc>
          <w:tcPr>
            <w:tcW w:w="1493" w:type="dxa"/>
            <w:tcBorders>
              <w:top w:val="nil"/>
              <w:left w:val="nil"/>
              <w:bottom w:val="single" w:color="auto" w:sz="4" w:space="0"/>
              <w:right w:val="single" w:color="auto" w:sz="4" w:space="0"/>
            </w:tcBorders>
            <w:noWrap/>
            <w:vAlign w:val="center"/>
          </w:tcPr>
          <w:p>
            <w:pPr>
              <w:pStyle w:val="5"/>
              <w:spacing w:before="0" w:beforeAutospacing="0" w:after="0" w:afterAutospacing="0"/>
              <w:ind w:firstLine="360" w:firstLineChars="200"/>
              <w:rPr>
                <w:color w:val="auto"/>
                <w:sz w:val="18"/>
                <w:szCs w:val="18"/>
                <w:highlight w:val="none"/>
              </w:rPr>
            </w:pPr>
            <w:r>
              <w:rPr>
                <w:rFonts w:hint="eastAsia"/>
                <w:color w:val="auto"/>
                <w:sz w:val="18"/>
                <w:szCs w:val="18"/>
                <w:highlight w:val="none"/>
              </w:rPr>
              <w:t>17229</w:t>
            </w:r>
          </w:p>
        </w:tc>
      </w:tr>
    </w:tbl>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1）本项目开发出以QT700-10、QT900-5为代表的新型高强度高塑性铸铁材料，是对目前传统国标材料的补充，填补了材料空白，为机械零件设计提供了新的选择，解决了在高强度高塑性场合只能选用铸钢或者锻钢的局限；</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2）高性能的铸铁材料选用，可以发挥铸铁工艺性好，成本低，重量轻的优势，降低零件成本，降低零件重量，节约社会材料资源有着重要意义；2017-2019年为整车厂节约材料支出1.72亿元，为社会节约金属材料资源1.64亿吨；</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（3）本项目开发出的新型材料QT700-10、QT900-5，均领先于国内外相关Q</w:t>
      </w:r>
      <w:r>
        <w:rPr>
          <w:rFonts w:hAnsi="宋体" w:eastAsia="宋体"/>
          <w:color w:val="auto"/>
          <w:sz w:val="24"/>
          <w:highlight w:val="none"/>
        </w:rPr>
        <w:t>T500-7/QT600-3</w:t>
      </w:r>
      <w:r>
        <w:rPr>
          <w:rFonts w:hint="eastAsia" w:hAnsi="宋体" w:eastAsia="宋体"/>
          <w:color w:val="auto"/>
          <w:sz w:val="24"/>
          <w:highlight w:val="none"/>
        </w:rPr>
        <w:t>同类产品，牌号性能提升，产品重量下降，推动了国内相关行业的技术进步，对我国制造业进步具有重要意义；</w:t>
      </w:r>
    </w:p>
    <w:p>
      <w:pPr>
        <w:spacing w:before="156" w:beforeLines="50" w:after="156" w:afterLines="50" w:line="440" w:lineRule="exact"/>
        <w:ind w:firstLine="480" w:firstLineChars="200"/>
        <w:outlineLvl w:val="0"/>
        <w:rPr>
          <w:rFonts w:hAnsi="宋体" w:eastAsia="宋体"/>
          <w:color w:val="auto"/>
          <w:sz w:val="24"/>
          <w:highlight w:val="none"/>
        </w:rPr>
      </w:pPr>
      <w:r>
        <w:rPr>
          <w:rFonts w:hint="eastAsia" w:hAnsi="宋体" w:eastAsia="宋体"/>
          <w:color w:val="auto"/>
          <w:sz w:val="24"/>
          <w:highlight w:val="none"/>
        </w:rPr>
        <w:t>（4）项目的选题从实际应用出发，来解决实际问题，且获得了广泛的应用，为顾客节约了成本，为社会节约了材料和能耗，提升了国产装备的竞争力。</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5）新旧标准的对比分析（适用于修订标准）</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无。</w:t>
      </w:r>
    </w:p>
    <w:p>
      <w:pPr>
        <w:spacing w:before="156" w:beforeLines="50" w:after="156" w:afterLines="50" w:line="44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7.与现行相关法律、法规、规章及相关标准，特别是强制性标准的协调性</w:t>
      </w:r>
    </w:p>
    <w:p>
      <w:pPr>
        <w:spacing w:line="320" w:lineRule="exact"/>
        <w:ind w:firstLine="480" w:firstLineChars="200"/>
        <w:rPr>
          <w:rFonts w:ascii="黑体" w:hAnsi="宋体" w:eastAsia="黑体"/>
          <w:color w:val="auto"/>
          <w:sz w:val="24"/>
          <w:szCs w:val="24"/>
          <w:highlight w:val="none"/>
        </w:rPr>
      </w:pPr>
      <w:r>
        <w:rPr>
          <w:rFonts w:ascii="黑体" w:hAnsi="宋体" w:eastAsia="黑体"/>
          <w:color w:val="auto"/>
          <w:sz w:val="24"/>
          <w:szCs w:val="24"/>
          <w:highlight w:val="none"/>
        </w:rPr>
        <w:t>无。</w:t>
      </w:r>
    </w:p>
    <w:p>
      <w:pPr>
        <w:spacing w:line="32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8.对重大分歧意见的处理经过和依据（</w:t>
      </w:r>
      <w:r>
        <w:rPr>
          <w:rFonts w:hint="eastAsia" w:ascii="黑体" w:hAnsi="黑体" w:eastAsia="黑体"/>
          <w:i/>
          <w:color w:val="auto"/>
          <w:sz w:val="24"/>
          <w:szCs w:val="24"/>
          <w:highlight w:val="none"/>
        </w:rPr>
        <w:t>如有书面处理报告等，应将其扫描件作为附件附后</w:t>
      </w:r>
      <w:r>
        <w:rPr>
          <w:rFonts w:hint="eastAsia" w:ascii="黑体" w:hAnsi="宋体" w:eastAsia="黑体"/>
          <w:b/>
          <w:color w:val="auto"/>
          <w:sz w:val="24"/>
          <w:szCs w:val="24"/>
          <w:highlight w:val="none"/>
        </w:rPr>
        <w:t>）</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ascii="黑体" w:hAnsi="宋体" w:eastAsia="黑体"/>
          <w:color w:val="auto"/>
          <w:sz w:val="24"/>
          <w:szCs w:val="24"/>
          <w:highlight w:val="none"/>
        </w:rPr>
        <w:t>无。</w:t>
      </w:r>
    </w:p>
    <w:p>
      <w:pPr>
        <w:spacing w:before="156" w:beforeLines="50" w:after="156" w:afterLines="50" w:line="44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9.贯彻标准的要求和措施建议（包括组织措施、技术措施、过渡办法等内容），根据国家经济、技术政策需要和该标准涉及的产品的技术改造难度等因素提出标准的实施日期的建议</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1）贯彻标准的要求和措施建议（包括组织措施、技术措施、过渡办法等内容）</w:t>
      </w:r>
    </w:p>
    <w:p>
      <w:pPr>
        <w:spacing w:before="156" w:beforeLines="50" w:after="156" w:afterLines="50" w:line="440" w:lineRule="exact"/>
        <w:ind w:firstLine="480" w:firstLineChars="200"/>
        <w:outlineLvl w:val="0"/>
        <w:rPr>
          <w:rFonts w:ascii="黑体" w:hAnsi="宋体" w:eastAsia="黑体"/>
          <w:color w:val="auto"/>
          <w:sz w:val="24"/>
          <w:szCs w:val="24"/>
          <w:highlight w:val="none"/>
        </w:rPr>
      </w:pPr>
      <w:r>
        <w:rPr>
          <w:rFonts w:hint="eastAsia" w:hAnsi="宋体" w:eastAsia="宋体"/>
          <w:color w:val="auto"/>
          <w:sz w:val="24"/>
          <w:highlight w:val="none"/>
        </w:rPr>
        <w:t>首先应在实施前保证文本的充足供应，让本标准的相关方及时得到文本；发布后、实施前建议将本标准的相关信息在媒体上广为宣传；建议对标准的相关方有针对性的进行培训。</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2）标准的实施日期的建议（根据国家经济、技术政策需要和该标准涉及的产品的技术改造难度等综合因素提出）</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hAnsi="宋体" w:eastAsia="宋体"/>
          <w:color w:val="auto"/>
          <w:sz w:val="24"/>
          <w:highlight w:val="none"/>
        </w:rPr>
        <w:t>实施的过渡期宜定为6个月；建议质量检查监督部门加强对该标准的执行情况进行监测</w:t>
      </w:r>
    </w:p>
    <w:p>
      <w:pPr>
        <w:spacing w:before="156" w:beforeLines="50" w:after="156" w:afterLines="50" w:line="440" w:lineRule="exact"/>
        <w:ind w:firstLine="482" w:firstLineChars="200"/>
        <w:rPr>
          <w:rFonts w:ascii="黑体" w:hAnsi="宋体" w:eastAsia="黑体"/>
          <w:b/>
          <w:color w:val="auto"/>
          <w:sz w:val="24"/>
          <w:szCs w:val="24"/>
          <w:highlight w:val="none"/>
        </w:rPr>
      </w:pPr>
      <w:r>
        <w:rPr>
          <w:rFonts w:hint="eastAsia" w:ascii="黑体" w:hAnsi="宋体" w:eastAsia="黑体"/>
          <w:b/>
          <w:color w:val="auto"/>
          <w:sz w:val="24"/>
          <w:szCs w:val="24"/>
          <w:highlight w:val="none"/>
        </w:rPr>
        <w:t>10.废止有关标准的建议</w:t>
      </w:r>
    </w:p>
    <w:p>
      <w:pPr>
        <w:spacing w:before="156" w:beforeLines="50" w:after="156" w:afterLines="50" w:line="440" w:lineRule="exact"/>
        <w:ind w:firstLine="480" w:firstLineChars="200"/>
        <w:rPr>
          <w:rFonts w:ascii="黑体" w:hAnsi="宋体" w:eastAsia="黑体"/>
          <w:color w:val="auto"/>
          <w:sz w:val="24"/>
          <w:szCs w:val="24"/>
          <w:highlight w:val="none"/>
        </w:rPr>
      </w:pPr>
      <w:r>
        <w:rPr>
          <w:rFonts w:hint="eastAsia" w:ascii="黑体" w:hAnsi="宋体" w:eastAsia="黑体"/>
          <w:color w:val="auto"/>
          <w:sz w:val="24"/>
          <w:szCs w:val="24"/>
          <w:highlight w:val="none"/>
        </w:rPr>
        <w:t>无。</w:t>
      </w:r>
      <w:r>
        <w:rPr>
          <w:rFonts w:hint="eastAsia" w:ascii="黑体" w:hAnsi="宋体" w:eastAsia="黑体"/>
          <w:color w:val="auto"/>
          <w:sz w:val="24"/>
          <w:szCs w:val="24"/>
          <w:highlight w:val="none"/>
        </w:rPr>
        <w:br w:type="textWrapping"/>
      </w:r>
      <w:r>
        <w:rPr>
          <w:rFonts w:ascii="黑体" w:hAnsi="宋体" w:eastAsia="黑体"/>
          <w:color w:val="auto"/>
          <w:sz w:val="24"/>
          <w:szCs w:val="24"/>
          <w:highlight w:val="none"/>
        </w:rPr>
        <w:t xml:space="preserve">    </w:t>
      </w:r>
      <w:r>
        <w:rPr>
          <w:rFonts w:hint="eastAsia" w:ascii="黑体" w:hAnsi="宋体" w:eastAsia="黑体"/>
          <w:b/>
          <w:color w:val="auto"/>
          <w:sz w:val="24"/>
          <w:szCs w:val="24"/>
          <w:highlight w:val="none"/>
        </w:rPr>
        <w:t>11.标准涉及专利情况说明</w:t>
      </w:r>
      <w:r>
        <w:rPr>
          <w:rFonts w:hint="eastAsia" w:ascii="黑体" w:hAnsi="宋体" w:eastAsia="黑体"/>
          <w:color w:val="auto"/>
          <w:sz w:val="24"/>
          <w:szCs w:val="24"/>
          <w:highlight w:val="none"/>
        </w:rPr>
        <w:t>（包括1、专利发布日期、专利编号、专利权人；2、专利处置情况；3、专利使用许可申明和披露申明。详细请按照GB/T 20003.1 《标准制定的特殊程序 第1部分：涉及专利的标准》执行）</w:t>
      </w:r>
    </w:p>
    <w:p>
      <w:pPr>
        <w:spacing w:before="156" w:beforeLines="50" w:after="156" w:afterLines="50" w:line="440" w:lineRule="exact"/>
        <w:ind w:firstLine="480" w:firstLineChars="200"/>
        <w:rPr>
          <w:rFonts w:hAnsi="宋体" w:eastAsia="宋体"/>
          <w:color w:val="auto"/>
          <w:sz w:val="24"/>
          <w:highlight w:val="none"/>
        </w:rPr>
      </w:pPr>
      <w:r>
        <w:rPr>
          <w:rFonts w:hint="eastAsia" w:hAnsi="宋体" w:eastAsia="宋体"/>
          <w:color w:val="auto"/>
          <w:sz w:val="24"/>
          <w:highlight w:val="none"/>
        </w:rPr>
        <w:t>本标准不涉及专利。</w:t>
      </w:r>
    </w:p>
    <w:p>
      <w:pPr>
        <w:spacing w:before="156" w:beforeLines="50" w:after="156" w:afterLines="50" w:line="440" w:lineRule="exact"/>
        <w:ind w:firstLine="482" w:firstLineChars="200"/>
        <w:rPr>
          <w:rFonts w:ascii="华文隶书" w:hAnsi="楷体" w:eastAsia="华文隶书"/>
          <w:color w:val="auto"/>
          <w:sz w:val="48"/>
          <w:szCs w:val="48"/>
          <w:highlight w:val="none"/>
        </w:rPr>
      </w:pPr>
      <w:r>
        <w:rPr>
          <w:rFonts w:hint="eastAsia" w:ascii="黑体" w:hAnsi="宋体" w:eastAsia="黑体"/>
          <w:b/>
          <w:color w:val="auto"/>
          <w:sz w:val="24"/>
          <w:szCs w:val="24"/>
          <w:highlight w:val="none"/>
        </w:rPr>
        <w:t>12.重要内容的解释和其它应予说明的事项（</w:t>
      </w:r>
      <w:r>
        <w:rPr>
          <w:rFonts w:hint="eastAsia" w:ascii="黑体" w:hAnsi="宋体" w:eastAsia="黑体"/>
          <w:i/>
          <w:color w:val="auto"/>
          <w:sz w:val="24"/>
          <w:szCs w:val="24"/>
          <w:highlight w:val="none"/>
        </w:rPr>
        <w:t>如存在其他必要的论述报告等，应将其扫描件作为附件附后</w:t>
      </w:r>
      <w:r>
        <w:rPr>
          <w:rFonts w:hint="eastAsia" w:ascii="黑体" w:hAnsi="宋体" w:eastAsia="黑体"/>
          <w:b/>
          <w:color w:val="auto"/>
          <w:sz w:val="24"/>
          <w:szCs w:val="24"/>
          <w:highlight w:val="none"/>
        </w:rPr>
        <w:t>）</w:t>
      </w:r>
      <w:r>
        <w:rPr>
          <w:rFonts w:hint="eastAsia" w:ascii="华文隶书" w:hAnsi="楷体" w:eastAsia="华文隶书"/>
          <w:color w:val="auto"/>
          <w:sz w:val="48"/>
          <w:szCs w:val="48"/>
          <w:highlight w:val="none"/>
        </w:rPr>
        <w:t xml:space="preserve"> </w:t>
      </w:r>
    </w:p>
    <w:p>
      <w:pPr>
        <w:spacing w:before="156" w:beforeLines="50" w:after="156" w:afterLines="50" w:line="440" w:lineRule="exact"/>
        <w:ind w:firstLine="480" w:firstLineChars="200"/>
        <w:rPr>
          <w:rFonts w:hAnsi="宋体" w:eastAsia="宋体"/>
          <w:color w:val="auto"/>
          <w:sz w:val="24"/>
          <w:highlight w:val="none"/>
        </w:rPr>
      </w:pPr>
      <w:r>
        <w:rPr>
          <w:rFonts w:hAnsi="宋体" w:eastAsia="宋体"/>
          <w:color w:val="auto"/>
          <w:sz w:val="24"/>
          <w:highlight w:val="none"/>
        </w:rPr>
        <w:t>无。</w:t>
      </w:r>
    </w:p>
    <w:p>
      <w:pPr>
        <w:spacing w:before="156" w:beforeLines="50" w:after="156" w:afterLines="50" w:line="440" w:lineRule="exact"/>
        <w:ind w:firstLine="480" w:firstLineChars="200"/>
        <w:rPr>
          <w:rFonts w:hAnsi="宋体" w:eastAsia="宋体"/>
          <w:color w:val="auto"/>
          <w:sz w:val="24"/>
          <w:highlight w:val="none"/>
        </w:rPr>
      </w:pPr>
    </w:p>
    <w:p>
      <w:pPr>
        <w:spacing w:before="156" w:beforeLines="50" w:after="156" w:afterLines="50" w:line="440" w:lineRule="exact"/>
        <w:ind w:firstLine="480" w:firstLineChars="200"/>
        <w:rPr>
          <w:rFonts w:hAnsi="宋体" w:eastAsia="宋体"/>
          <w:color w:val="auto"/>
          <w:sz w:val="24"/>
          <w:highlight w:val="none"/>
        </w:rPr>
      </w:pPr>
    </w:p>
    <w:p>
      <w:pPr>
        <w:spacing w:before="156" w:beforeLines="50" w:after="156" w:afterLines="50" w:line="440" w:lineRule="exact"/>
        <w:ind w:firstLine="480" w:firstLineChars="200"/>
        <w:jc w:val="right"/>
        <w:rPr>
          <w:rFonts w:ascii="黑体" w:hAnsi="黑体" w:eastAsia="黑体"/>
          <w:color w:val="auto"/>
          <w:sz w:val="24"/>
          <w:highlight w:val="none"/>
        </w:rPr>
      </w:pPr>
      <w:r>
        <w:rPr>
          <w:rFonts w:hint="eastAsia" w:ascii="黑体" w:hAnsi="黑体" w:eastAsia="黑体"/>
          <w:color w:val="auto"/>
          <w:sz w:val="24"/>
          <w:highlight w:val="none"/>
        </w:rPr>
        <w:t>中铸协《高强度高塑性球墨铸铁件》团体标准编制组</w:t>
      </w:r>
    </w:p>
    <w:p>
      <w:pPr>
        <w:spacing w:before="156" w:beforeLines="50" w:after="156" w:afterLines="50" w:line="440" w:lineRule="exact"/>
        <w:ind w:firstLine="6480" w:firstLineChars="2700"/>
        <w:rPr>
          <w:rFonts w:hAnsi="宋体" w:eastAsia="宋体"/>
          <w:color w:val="auto"/>
          <w:sz w:val="24"/>
          <w:highlight w:val="none"/>
        </w:rPr>
      </w:pPr>
      <w:r>
        <w:rPr>
          <w:rFonts w:hint="eastAsia" w:ascii="黑体" w:hAnsi="黑体" w:eastAsia="黑体"/>
          <w:color w:val="auto"/>
          <w:sz w:val="24"/>
          <w:highlight w:val="none"/>
        </w:rPr>
        <w:t>2</w:t>
      </w:r>
      <w:r>
        <w:rPr>
          <w:rFonts w:ascii="黑体" w:hAnsi="黑体" w:eastAsia="黑体"/>
          <w:color w:val="auto"/>
          <w:sz w:val="24"/>
          <w:highlight w:val="none"/>
        </w:rPr>
        <w:t>022.</w:t>
      </w:r>
      <w:r>
        <w:rPr>
          <w:rFonts w:hint="eastAsia" w:ascii="黑体" w:hAnsi="黑体" w:eastAsia="黑体"/>
          <w:color w:val="auto"/>
          <w:sz w:val="24"/>
          <w:highlight w:val="none"/>
        </w:rPr>
        <w:t>9</w:t>
      </w:r>
      <w:r>
        <w:rPr>
          <w:rFonts w:ascii="黑体" w:hAnsi="黑体" w:eastAsia="黑体"/>
          <w:color w:val="auto"/>
          <w:sz w:val="24"/>
          <w:highlight w:val="none"/>
        </w:rPr>
        <w:t>.30</w:t>
      </w:r>
    </w:p>
    <w:sectPr>
      <w:footerReference r:id="rId3" w:type="default"/>
      <w:pgSz w:w="11906" w:h="16838"/>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E00B6"/>
    <w:multiLevelType w:val="singleLevel"/>
    <w:tmpl w:val="977E00B6"/>
    <w:lvl w:ilvl="0" w:tentative="0">
      <w:start w:val="3"/>
      <w:numFmt w:val="decimal"/>
      <w:suff w:val="nothing"/>
      <w:lvlText w:val="（%1）"/>
      <w:lvlJc w:val="left"/>
    </w:lvl>
  </w:abstractNum>
  <w:abstractNum w:abstractNumId="1">
    <w:nsid w:val="1DBF583A"/>
    <w:multiLevelType w:val="multilevel"/>
    <w:tmpl w:val="1DBF583A"/>
    <w:lvl w:ilvl="0" w:tentative="0">
      <w:start w:val="1"/>
      <w:numFmt w:val="decimal"/>
      <w:pStyle w:val="21"/>
      <w:suff w:val="nothing"/>
      <w:lvlText w:val="注%1："/>
      <w:lvlJc w:val="left"/>
      <w:pPr>
        <w:ind w:left="811" w:hanging="448"/>
      </w:pPr>
      <w:rPr>
        <w:rFonts w:hint="eastAsia" w:ascii="黑体" w:eastAsia="黑体" w:cs="Times New Roman"/>
        <w:b w:val="0"/>
        <w:i w:val="0"/>
        <w:sz w:val="18"/>
        <w:szCs w:val="18"/>
      </w:rPr>
    </w:lvl>
    <w:lvl w:ilvl="1" w:tentative="0">
      <w:start w:val="1"/>
      <w:numFmt w:val="lowerLetter"/>
      <w:lvlText w:val="%2)"/>
      <w:lvlJc w:val="left"/>
      <w:pPr>
        <w:tabs>
          <w:tab w:val="left" w:pos="180"/>
        </w:tabs>
        <w:ind w:left="1172" w:hanging="629"/>
      </w:pPr>
      <w:rPr>
        <w:rFonts w:hint="eastAsia" w:cs="Times New Roman"/>
      </w:rPr>
    </w:lvl>
    <w:lvl w:ilvl="2" w:tentative="0">
      <w:start w:val="1"/>
      <w:numFmt w:val="lowerRoman"/>
      <w:lvlText w:val="%3."/>
      <w:lvlJc w:val="right"/>
      <w:pPr>
        <w:tabs>
          <w:tab w:val="left" w:pos="180"/>
        </w:tabs>
        <w:ind w:left="1172" w:hanging="629"/>
      </w:pPr>
      <w:rPr>
        <w:rFonts w:hint="eastAsia" w:cs="Times New Roman"/>
      </w:rPr>
    </w:lvl>
    <w:lvl w:ilvl="3" w:tentative="0">
      <w:start w:val="1"/>
      <w:numFmt w:val="decimal"/>
      <w:lvlText w:val="%4."/>
      <w:lvlJc w:val="left"/>
      <w:pPr>
        <w:tabs>
          <w:tab w:val="left" w:pos="180"/>
        </w:tabs>
        <w:ind w:left="1172" w:hanging="629"/>
      </w:pPr>
      <w:rPr>
        <w:rFonts w:hint="eastAsia" w:cs="Times New Roman"/>
      </w:rPr>
    </w:lvl>
    <w:lvl w:ilvl="4" w:tentative="0">
      <w:start w:val="1"/>
      <w:numFmt w:val="lowerLetter"/>
      <w:lvlText w:val="%5)"/>
      <w:lvlJc w:val="left"/>
      <w:pPr>
        <w:tabs>
          <w:tab w:val="left" w:pos="180"/>
        </w:tabs>
        <w:ind w:left="1172" w:hanging="629"/>
      </w:pPr>
      <w:rPr>
        <w:rFonts w:hint="eastAsia" w:cs="Times New Roman"/>
      </w:rPr>
    </w:lvl>
    <w:lvl w:ilvl="5" w:tentative="0">
      <w:start w:val="1"/>
      <w:numFmt w:val="lowerRoman"/>
      <w:lvlText w:val="%6."/>
      <w:lvlJc w:val="right"/>
      <w:pPr>
        <w:tabs>
          <w:tab w:val="left" w:pos="180"/>
        </w:tabs>
        <w:ind w:left="1172" w:hanging="629"/>
      </w:pPr>
      <w:rPr>
        <w:rFonts w:hint="eastAsia" w:cs="Times New Roman"/>
      </w:rPr>
    </w:lvl>
    <w:lvl w:ilvl="6" w:tentative="0">
      <w:start w:val="1"/>
      <w:numFmt w:val="decimal"/>
      <w:lvlText w:val="%7."/>
      <w:lvlJc w:val="left"/>
      <w:pPr>
        <w:tabs>
          <w:tab w:val="left" w:pos="180"/>
        </w:tabs>
        <w:ind w:left="1172" w:hanging="629"/>
      </w:pPr>
      <w:rPr>
        <w:rFonts w:hint="eastAsia" w:cs="Times New Roman"/>
      </w:rPr>
    </w:lvl>
    <w:lvl w:ilvl="7" w:tentative="0">
      <w:start w:val="1"/>
      <w:numFmt w:val="lowerLetter"/>
      <w:lvlText w:val="%8)"/>
      <w:lvlJc w:val="left"/>
      <w:pPr>
        <w:tabs>
          <w:tab w:val="left" w:pos="180"/>
        </w:tabs>
        <w:ind w:left="1172" w:hanging="629"/>
      </w:pPr>
      <w:rPr>
        <w:rFonts w:hint="eastAsia" w:cs="Times New Roman"/>
      </w:rPr>
    </w:lvl>
    <w:lvl w:ilvl="8" w:tentative="0">
      <w:start w:val="1"/>
      <w:numFmt w:val="lowerRoman"/>
      <w:lvlText w:val="%9."/>
      <w:lvlJc w:val="right"/>
      <w:pPr>
        <w:tabs>
          <w:tab w:val="left" w:pos="180"/>
        </w:tabs>
        <w:ind w:left="1172" w:hanging="629"/>
      </w:pPr>
      <w:rPr>
        <w:rFonts w:hint="eastAsia" w:cs="Times New Roman"/>
      </w:rPr>
    </w:lvl>
  </w:abstractNum>
  <w:abstractNum w:abstractNumId="2">
    <w:nsid w:val="1FC91163"/>
    <w:multiLevelType w:val="multilevel"/>
    <w:tmpl w:val="1FC91163"/>
    <w:lvl w:ilvl="0" w:tentative="0">
      <w:start w:val="1"/>
      <w:numFmt w:val="decimal"/>
      <w:pStyle w:val="16"/>
      <w:lvlText w:val="%1."/>
      <w:lvlJc w:val="left"/>
      <w:rPr>
        <w:rFonts w:hint="default" w:ascii="Times New Roman" w:hAnsi="Times New Roman" w:cs="Times New Roman"/>
        <w:b w:val="0"/>
        <w:i w:val="0"/>
        <w:sz w:val="21"/>
        <w:szCs w:val="21"/>
      </w:rPr>
    </w:lvl>
    <w:lvl w:ilvl="1" w:tentative="0">
      <w:start w:val="1"/>
      <w:numFmt w:val="decimal"/>
      <w:pStyle w:val="13"/>
      <w:suff w:val="nothing"/>
      <w:lvlText w:val="%1.%2　"/>
      <w:lvlJc w:val="left"/>
      <w:rPr>
        <w:rFonts w:hint="eastAsia" w:ascii="黑体" w:hAnsi="Times New Roman" w:eastAsia="黑体" w:cs="Times New Roman"/>
        <w:b w:val="0"/>
        <w:bCs w:val="0"/>
        <w:i w:val="0"/>
        <w:iCs w:val="0"/>
        <w:caps w:val="0"/>
        <w:strike w:val="0"/>
        <w:dstrike w:val="0"/>
        <w:color w:val="auto"/>
        <w:spacing w:val="0"/>
        <w:kern w:val="0"/>
        <w:position w:val="0"/>
        <w:sz w:val="21"/>
        <w:szCs w:val="21"/>
        <w:u w:val="none"/>
        <w14:shadow w14:blurRad="0" w14:dist="0" w14:dir="0" w14:sx="0" w14:sy="0" w14:kx="0" w14:ky="0" w14:algn="none">
          <w14:srgbClr w14:val="000000"/>
        </w14:shadow>
      </w:rPr>
    </w:lvl>
    <w:lvl w:ilvl="2" w:tentative="0">
      <w:start w:val="1"/>
      <w:numFmt w:val="decimal"/>
      <w:pStyle w:val="15"/>
      <w:suff w:val="nothing"/>
      <w:lvlText w:val="%1.%2.%3　"/>
      <w:lvlJc w:val="left"/>
      <w:pPr>
        <w:ind w:left="426"/>
      </w:pPr>
      <w:rPr>
        <w:rFonts w:hint="eastAsia" w:ascii="黑体" w:hAnsi="Times New Roman" w:eastAsia="黑体" w:cs="Times New Roman"/>
        <w:b w:val="0"/>
        <w:i w:val="0"/>
        <w:color w:val="auto"/>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1863DE"/>
    <w:rsid w:val="00034358"/>
    <w:rsid w:val="000415F3"/>
    <w:rsid w:val="000432E7"/>
    <w:rsid w:val="00050E65"/>
    <w:rsid w:val="00051573"/>
    <w:rsid w:val="00076384"/>
    <w:rsid w:val="00086BF5"/>
    <w:rsid w:val="00087A05"/>
    <w:rsid w:val="00096D21"/>
    <w:rsid w:val="000B0DA8"/>
    <w:rsid w:val="000B551A"/>
    <w:rsid w:val="000B695C"/>
    <w:rsid w:val="000B6AC5"/>
    <w:rsid w:val="000C581B"/>
    <w:rsid w:val="000D1787"/>
    <w:rsid w:val="000F0EF9"/>
    <w:rsid w:val="00127416"/>
    <w:rsid w:val="00152478"/>
    <w:rsid w:val="00154522"/>
    <w:rsid w:val="00165EAF"/>
    <w:rsid w:val="00173FE2"/>
    <w:rsid w:val="00174DA5"/>
    <w:rsid w:val="001863DE"/>
    <w:rsid w:val="001A11E0"/>
    <w:rsid w:val="001D0E13"/>
    <w:rsid w:val="001E1E29"/>
    <w:rsid w:val="00215442"/>
    <w:rsid w:val="00220FA7"/>
    <w:rsid w:val="002301E5"/>
    <w:rsid w:val="00244EFD"/>
    <w:rsid w:val="00253F59"/>
    <w:rsid w:val="002642B5"/>
    <w:rsid w:val="002857BE"/>
    <w:rsid w:val="00303B43"/>
    <w:rsid w:val="003466AD"/>
    <w:rsid w:val="0036461E"/>
    <w:rsid w:val="00373440"/>
    <w:rsid w:val="00383D2A"/>
    <w:rsid w:val="00394A9C"/>
    <w:rsid w:val="0039697F"/>
    <w:rsid w:val="003A04A4"/>
    <w:rsid w:val="003C6E21"/>
    <w:rsid w:val="003D7288"/>
    <w:rsid w:val="003D7B6E"/>
    <w:rsid w:val="00410E35"/>
    <w:rsid w:val="0041670A"/>
    <w:rsid w:val="004261B3"/>
    <w:rsid w:val="00442BE6"/>
    <w:rsid w:val="00461D35"/>
    <w:rsid w:val="00467A30"/>
    <w:rsid w:val="00473095"/>
    <w:rsid w:val="004820E0"/>
    <w:rsid w:val="004841E7"/>
    <w:rsid w:val="004A1FE8"/>
    <w:rsid w:val="004B61AD"/>
    <w:rsid w:val="004C48A6"/>
    <w:rsid w:val="004D008B"/>
    <w:rsid w:val="004D12E9"/>
    <w:rsid w:val="004D3567"/>
    <w:rsid w:val="004E5C6E"/>
    <w:rsid w:val="004F6CDD"/>
    <w:rsid w:val="005042DD"/>
    <w:rsid w:val="00515D59"/>
    <w:rsid w:val="0053432B"/>
    <w:rsid w:val="00541D37"/>
    <w:rsid w:val="00544F99"/>
    <w:rsid w:val="005459FA"/>
    <w:rsid w:val="00587C3E"/>
    <w:rsid w:val="005B49BA"/>
    <w:rsid w:val="005C2E6B"/>
    <w:rsid w:val="005C48E8"/>
    <w:rsid w:val="005C6757"/>
    <w:rsid w:val="00600C8B"/>
    <w:rsid w:val="00640E1B"/>
    <w:rsid w:val="00641F98"/>
    <w:rsid w:val="00660B75"/>
    <w:rsid w:val="00670504"/>
    <w:rsid w:val="0068269D"/>
    <w:rsid w:val="006A4C7B"/>
    <w:rsid w:val="006A4FE3"/>
    <w:rsid w:val="006B240F"/>
    <w:rsid w:val="006C6E69"/>
    <w:rsid w:val="006D123D"/>
    <w:rsid w:val="006F6421"/>
    <w:rsid w:val="00702D7C"/>
    <w:rsid w:val="00720196"/>
    <w:rsid w:val="00736986"/>
    <w:rsid w:val="007527AB"/>
    <w:rsid w:val="0075540F"/>
    <w:rsid w:val="00776DB4"/>
    <w:rsid w:val="007D4E1D"/>
    <w:rsid w:val="008071F3"/>
    <w:rsid w:val="00812C81"/>
    <w:rsid w:val="008344E9"/>
    <w:rsid w:val="00845A3D"/>
    <w:rsid w:val="00846030"/>
    <w:rsid w:val="00856AC2"/>
    <w:rsid w:val="00865208"/>
    <w:rsid w:val="008873E0"/>
    <w:rsid w:val="008A0BDE"/>
    <w:rsid w:val="008B2335"/>
    <w:rsid w:val="008C3327"/>
    <w:rsid w:val="00906BBB"/>
    <w:rsid w:val="00906E37"/>
    <w:rsid w:val="0091127F"/>
    <w:rsid w:val="009253D2"/>
    <w:rsid w:val="009276AE"/>
    <w:rsid w:val="00942F48"/>
    <w:rsid w:val="00945978"/>
    <w:rsid w:val="009513FD"/>
    <w:rsid w:val="00952B23"/>
    <w:rsid w:val="00967E51"/>
    <w:rsid w:val="00981AA6"/>
    <w:rsid w:val="0099771D"/>
    <w:rsid w:val="009A7747"/>
    <w:rsid w:val="009B0EE9"/>
    <w:rsid w:val="009B5A60"/>
    <w:rsid w:val="009B6824"/>
    <w:rsid w:val="009B6EC9"/>
    <w:rsid w:val="00A053F4"/>
    <w:rsid w:val="00A56C41"/>
    <w:rsid w:val="00A660F9"/>
    <w:rsid w:val="00AB7D92"/>
    <w:rsid w:val="00AD1AA8"/>
    <w:rsid w:val="00AD2020"/>
    <w:rsid w:val="00B0664B"/>
    <w:rsid w:val="00B5365E"/>
    <w:rsid w:val="00B55FF2"/>
    <w:rsid w:val="00B77905"/>
    <w:rsid w:val="00B82428"/>
    <w:rsid w:val="00B8396A"/>
    <w:rsid w:val="00BA056A"/>
    <w:rsid w:val="00BA1A4C"/>
    <w:rsid w:val="00C1063D"/>
    <w:rsid w:val="00C11342"/>
    <w:rsid w:val="00C13A7F"/>
    <w:rsid w:val="00C15014"/>
    <w:rsid w:val="00C32A09"/>
    <w:rsid w:val="00C45014"/>
    <w:rsid w:val="00C5642E"/>
    <w:rsid w:val="00C85895"/>
    <w:rsid w:val="00C90B52"/>
    <w:rsid w:val="00C936F6"/>
    <w:rsid w:val="00CA1B10"/>
    <w:rsid w:val="00CE089B"/>
    <w:rsid w:val="00CE341B"/>
    <w:rsid w:val="00CF793D"/>
    <w:rsid w:val="00D01E88"/>
    <w:rsid w:val="00D14342"/>
    <w:rsid w:val="00D15700"/>
    <w:rsid w:val="00D308A9"/>
    <w:rsid w:val="00D35061"/>
    <w:rsid w:val="00D352F4"/>
    <w:rsid w:val="00D45D2C"/>
    <w:rsid w:val="00D5550D"/>
    <w:rsid w:val="00D9491B"/>
    <w:rsid w:val="00DA38C1"/>
    <w:rsid w:val="00DB1B8A"/>
    <w:rsid w:val="00DE3FB5"/>
    <w:rsid w:val="00DE5B94"/>
    <w:rsid w:val="00E134C9"/>
    <w:rsid w:val="00E20ED5"/>
    <w:rsid w:val="00E51F31"/>
    <w:rsid w:val="00E63615"/>
    <w:rsid w:val="00E84321"/>
    <w:rsid w:val="00E9037C"/>
    <w:rsid w:val="00E96A4E"/>
    <w:rsid w:val="00EC2F35"/>
    <w:rsid w:val="00EC5DA7"/>
    <w:rsid w:val="00EE4490"/>
    <w:rsid w:val="00EF385E"/>
    <w:rsid w:val="00F13AC3"/>
    <w:rsid w:val="00F2466A"/>
    <w:rsid w:val="00F405BC"/>
    <w:rsid w:val="00F42CC4"/>
    <w:rsid w:val="00F51F5B"/>
    <w:rsid w:val="00F52C72"/>
    <w:rsid w:val="00F76FF0"/>
    <w:rsid w:val="00FD707C"/>
    <w:rsid w:val="00FF21A9"/>
    <w:rsid w:val="00FF6B61"/>
    <w:rsid w:val="01B57178"/>
    <w:rsid w:val="02F21B13"/>
    <w:rsid w:val="03135A40"/>
    <w:rsid w:val="0319611F"/>
    <w:rsid w:val="03A82158"/>
    <w:rsid w:val="03E81373"/>
    <w:rsid w:val="04F96FF0"/>
    <w:rsid w:val="050B2EC0"/>
    <w:rsid w:val="056F1B6F"/>
    <w:rsid w:val="05AD14AE"/>
    <w:rsid w:val="05C109E9"/>
    <w:rsid w:val="06765CEE"/>
    <w:rsid w:val="069E0F09"/>
    <w:rsid w:val="07DC00A9"/>
    <w:rsid w:val="08803584"/>
    <w:rsid w:val="089C6D14"/>
    <w:rsid w:val="092F4254"/>
    <w:rsid w:val="0EB34DA1"/>
    <w:rsid w:val="0ECD1405"/>
    <w:rsid w:val="13452DDE"/>
    <w:rsid w:val="1375627C"/>
    <w:rsid w:val="13F01345"/>
    <w:rsid w:val="1442760C"/>
    <w:rsid w:val="14795146"/>
    <w:rsid w:val="147F5F4E"/>
    <w:rsid w:val="15DD3DC4"/>
    <w:rsid w:val="16BF42C7"/>
    <w:rsid w:val="16EB4DAC"/>
    <w:rsid w:val="18103EA4"/>
    <w:rsid w:val="18B51788"/>
    <w:rsid w:val="18BC6B24"/>
    <w:rsid w:val="1A0063AB"/>
    <w:rsid w:val="1A911F76"/>
    <w:rsid w:val="1B1644C0"/>
    <w:rsid w:val="1B6C5A72"/>
    <w:rsid w:val="1B743824"/>
    <w:rsid w:val="1BE2334E"/>
    <w:rsid w:val="1C80665F"/>
    <w:rsid w:val="1CCE366F"/>
    <w:rsid w:val="1E5C79E9"/>
    <w:rsid w:val="1F1D2584"/>
    <w:rsid w:val="1F204383"/>
    <w:rsid w:val="1FCC760B"/>
    <w:rsid w:val="205A78A5"/>
    <w:rsid w:val="20BA09EF"/>
    <w:rsid w:val="229C5ABE"/>
    <w:rsid w:val="22FE6946"/>
    <w:rsid w:val="23FD31FE"/>
    <w:rsid w:val="24B93C4E"/>
    <w:rsid w:val="252B4381"/>
    <w:rsid w:val="26046D2F"/>
    <w:rsid w:val="27954AAA"/>
    <w:rsid w:val="27AE1810"/>
    <w:rsid w:val="27D00A89"/>
    <w:rsid w:val="27F362D2"/>
    <w:rsid w:val="28783EB1"/>
    <w:rsid w:val="2A6A428D"/>
    <w:rsid w:val="2B2F48EA"/>
    <w:rsid w:val="2BF35A45"/>
    <w:rsid w:val="2D273DB7"/>
    <w:rsid w:val="2D375E22"/>
    <w:rsid w:val="2DA74F8B"/>
    <w:rsid w:val="2DF4764B"/>
    <w:rsid w:val="2EE4306C"/>
    <w:rsid w:val="304F3095"/>
    <w:rsid w:val="30F65C58"/>
    <w:rsid w:val="31933657"/>
    <w:rsid w:val="334C4FED"/>
    <w:rsid w:val="33724D19"/>
    <w:rsid w:val="33C107E7"/>
    <w:rsid w:val="346379AB"/>
    <w:rsid w:val="36B12C26"/>
    <w:rsid w:val="3708192A"/>
    <w:rsid w:val="398443D3"/>
    <w:rsid w:val="39AA7D10"/>
    <w:rsid w:val="3A6D32E8"/>
    <w:rsid w:val="3AB17CAD"/>
    <w:rsid w:val="3AD7637D"/>
    <w:rsid w:val="3C1E1D27"/>
    <w:rsid w:val="3C7A386B"/>
    <w:rsid w:val="3D1C4F16"/>
    <w:rsid w:val="3DB836CD"/>
    <w:rsid w:val="3EAD5E17"/>
    <w:rsid w:val="40DB64A8"/>
    <w:rsid w:val="428C5196"/>
    <w:rsid w:val="42E33CA3"/>
    <w:rsid w:val="42F46FDC"/>
    <w:rsid w:val="457359A1"/>
    <w:rsid w:val="457527E7"/>
    <w:rsid w:val="46EA51C7"/>
    <w:rsid w:val="47480A7B"/>
    <w:rsid w:val="47703803"/>
    <w:rsid w:val="485338EE"/>
    <w:rsid w:val="489F6B33"/>
    <w:rsid w:val="48F43FE9"/>
    <w:rsid w:val="493F3E21"/>
    <w:rsid w:val="49CF4FE6"/>
    <w:rsid w:val="4A1A5397"/>
    <w:rsid w:val="4BAB07F5"/>
    <w:rsid w:val="4BDD2F4F"/>
    <w:rsid w:val="4C3B337E"/>
    <w:rsid w:val="4C602420"/>
    <w:rsid w:val="4D054E3D"/>
    <w:rsid w:val="4D6C02EB"/>
    <w:rsid w:val="4DBF25AD"/>
    <w:rsid w:val="4E525DC5"/>
    <w:rsid w:val="4FBA2FBC"/>
    <w:rsid w:val="50037265"/>
    <w:rsid w:val="500E1583"/>
    <w:rsid w:val="504F39AD"/>
    <w:rsid w:val="517B5C63"/>
    <w:rsid w:val="52325EC7"/>
    <w:rsid w:val="52870511"/>
    <w:rsid w:val="53D24237"/>
    <w:rsid w:val="53FB37B2"/>
    <w:rsid w:val="56295B51"/>
    <w:rsid w:val="56EFD951"/>
    <w:rsid w:val="585D0118"/>
    <w:rsid w:val="58970A03"/>
    <w:rsid w:val="590F1C88"/>
    <w:rsid w:val="5A053A7E"/>
    <w:rsid w:val="5A157AA5"/>
    <w:rsid w:val="5A29081A"/>
    <w:rsid w:val="5A9C0BF6"/>
    <w:rsid w:val="5AA47B80"/>
    <w:rsid w:val="5BC6433A"/>
    <w:rsid w:val="5BDB0E58"/>
    <w:rsid w:val="5BE75664"/>
    <w:rsid w:val="5E8C0DB9"/>
    <w:rsid w:val="5F437F5F"/>
    <w:rsid w:val="5F530592"/>
    <w:rsid w:val="605763CF"/>
    <w:rsid w:val="60626834"/>
    <w:rsid w:val="60D612A9"/>
    <w:rsid w:val="61337AA3"/>
    <w:rsid w:val="62D60072"/>
    <w:rsid w:val="64492A8A"/>
    <w:rsid w:val="648570CD"/>
    <w:rsid w:val="648A7DE6"/>
    <w:rsid w:val="665C418B"/>
    <w:rsid w:val="67E4535B"/>
    <w:rsid w:val="67FE6D58"/>
    <w:rsid w:val="69865F17"/>
    <w:rsid w:val="69BF005D"/>
    <w:rsid w:val="6A0E546F"/>
    <w:rsid w:val="6A257A27"/>
    <w:rsid w:val="6A535FE1"/>
    <w:rsid w:val="6B710154"/>
    <w:rsid w:val="6C4B6CFD"/>
    <w:rsid w:val="6C6C787C"/>
    <w:rsid w:val="6CAA217E"/>
    <w:rsid w:val="6E3605D4"/>
    <w:rsid w:val="71F22976"/>
    <w:rsid w:val="72526727"/>
    <w:rsid w:val="742D0BE7"/>
    <w:rsid w:val="7530098F"/>
    <w:rsid w:val="75A4354F"/>
    <w:rsid w:val="75E9162C"/>
    <w:rsid w:val="76215CDC"/>
    <w:rsid w:val="78D82391"/>
    <w:rsid w:val="79483969"/>
    <w:rsid w:val="79E26ABE"/>
    <w:rsid w:val="7A786F71"/>
    <w:rsid w:val="7DAB0349"/>
    <w:rsid w:val="7E0C0045"/>
    <w:rsid w:val="7E1102B6"/>
    <w:rsid w:val="7E7E073E"/>
    <w:rsid w:val="7E865AC4"/>
    <w:rsid w:val="7F04079C"/>
    <w:rsid w:val="7FA05DDA"/>
    <w:rsid w:val="7FBE526F"/>
    <w:rsid w:val="7FF7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3"/>
    <w:qFormat/>
    <w:uiPriority w:val="99"/>
    <w:rPr>
      <w:sz w:val="18"/>
      <w:szCs w:val="18"/>
    </w:rPr>
  </w:style>
  <w:style w:type="character" w:customStyle="1" w:styleId="10">
    <w:name w:val="页眉 Char"/>
    <w:basedOn w:val="8"/>
    <w:link w:val="4"/>
    <w:qFormat/>
    <w:uiPriority w:val="99"/>
    <w:rPr>
      <w:sz w:val="18"/>
      <w:szCs w:val="18"/>
    </w:rPr>
  </w:style>
  <w:style w:type="character" w:customStyle="1" w:styleId="11">
    <w:name w:val="段 Char"/>
    <w:link w:val="12"/>
    <w:qFormat/>
    <w:locked/>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3">
    <w:name w:val="一级条标题"/>
    <w:next w:val="12"/>
    <w:link w:val="2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二级无"/>
    <w:basedOn w:val="15"/>
    <w:qFormat/>
    <w:uiPriority w:val="0"/>
    <w:pPr>
      <w:spacing w:beforeLines="0" w:afterLines="0"/>
      <w:ind w:left="426"/>
    </w:pPr>
    <w:rPr>
      <w:rFonts w:ascii="宋体" w:eastAsia="宋体"/>
    </w:rPr>
  </w:style>
  <w:style w:type="paragraph" w:customStyle="1" w:styleId="15">
    <w:name w:val="二级条标题"/>
    <w:basedOn w:val="13"/>
    <w:next w:val="12"/>
    <w:qFormat/>
    <w:uiPriority w:val="0"/>
    <w:pPr>
      <w:numPr>
        <w:ilvl w:val="2"/>
      </w:numPr>
      <w:spacing w:before="50" w:after="50"/>
      <w:ind w:left="568"/>
      <w:outlineLvl w:val="3"/>
    </w:pPr>
  </w:style>
  <w:style w:type="paragraph" w:customStyle="1" w:styleId="16">
    <w:name w:val="章标题"/>
    <w:next w:val="1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7">
    <w:name w:val="列表段落1"/>
    <w:basedOn w:val="1"/>
    <w:qFormat/>
    <w:uiPriority w:val="34"/>
    <w:pPr>
      <w:ind w:firstLine="420" w:firstLineChars="200"/>
    </w:pPr>
  </w:style>
  <w:style w:type="character" w:customStyle="1" w:styleId="18">
    <w:name w:val="font31"/>
    <w:basedOn w:val="8"/>
    <w:qFormat/>
    <w:uiPriority w:val="0"/>
    <w:rPr>
      <w:rFonts w:hint="eastAsia" w:ascii="宋体" w:hAnsi="宋体" w:eastAsia="宋体" w:cs="宋体"/>
      <w:color w:val="FF0000"/>
      <w:sz w:val="22"/>
      <w:szCs w:val="22"/>
      <w:u w:val="none"/>
    </w:rPr>
  </w:style>
  <w:style w:type="character" w:customStyle="1" w:styleId="19">
    <w:name w:val="font01"/>
    <w:basedOn w:val="8"/>
    <w:qFormat/>
    <w:uiPriority w:val="0"/>
    <w:rPr>
      <w:rFonts w:hint="eastAsia" w:ascii="宋体" w:hAnsi="宋体" w:eastAsia="宋体" w:cs="宋体"/>
      <w:color w:val="000000"/>
      <w:sz w:val="22"/>
      <w:szCs w:val="22"/>
      <w:u w:val="none"/>
    </w:rPr>
  </w:style>
  <w:style w:type="character" w:customStyle="1" w:styleId="20">
    <w:name w:val="批注框文本 Char"/>
    <w:basedOn w:val="8"/>
    <w:link w:val="2"/>
    <w:semiHidden/>
    <w:qFormat/>
    <w:uiPriority w:val="99"/>
    <w:rPr>
      <w:rFonts w:ascii="Times New Roman" w:hAnsi="Times New Roman" w:eastAsia="仿宋_GB2312"/>
      <w:kern w:val="2"/>
      <w:sz w:val="18"/>
      <w:szCs w:val="18"/>
    </w:rPr>
  </w:style>
  <w:style w:type="paragraph" w:customStyle="1" w:styleId="21">
    <w:name w:val="注×：（正文）"/>
    <w:qFormat/>
    <w:uiPriority w:val="0"/>
    <w:pPr>
      <w:numPr>
        <w:ilvl w:val="0"/>
        <w:numId w:val="2"/>
      </w:numPr>
      <w:jc w:val="both"/>
    </w:pPr>
    <w:rPr>
      <w:rFonts w:ascii="宋体" w:hAnsi="Times New Roman" w:eastAsia="宋体" w:cs="Times New Roman"/>
      <w:sz w:val="18"/>
      <w:szCs w:val="18"/>
      <w:lang w:val="en-US" w:eastAsia="zh-CN" w:bidi="ar-SA"/>
    </w:rPr>
  </w:style>
  <w:style w:type="character" w:customStyle="1" w:styleId="22">
    <w:name w:val="font61"/>
    <w:basedOn w:val="8"/>
    <w:qFormat/>
    <w:uiPriority w:val="0"/>
    <w:rPr>
      <w:rFonts w:hint="default" w:ascii="Times New Roman" w:hAnsi="Times New Roman" w:cs="Times New Roman"/>
      <w:color w:val="000000"/>
      <w:sz w:val="22"/>
      <w:szCs w:val="22"/>
      <w:u w:val="none"/>
    </w:rPr>
  </w:style>
  <w:style w:type="character" w:customStyle="1" w:styleId="23">
    <w:name w:val="font51"/>
    <w:basedOn w:val="8"/>
    <w:qFormat/>
    <w:uiPriority w:val="0"/>
    <w:rPr>
      <w:rFonts w:hint="default" w:ascii="Times New Roman" w:hAnsi="Times New Roman" w:cs="Times New Roman"/>
      <w:color w:val="000000"/>
      <w:sz w:val="22"/>
      <w:szCs w:val="22"/>
      <w:u w:val="none"/>
      <w:vertAlign w:val="subscript"/>
    </w:rPr>
  </w:style>
  <w:style w:type="character" w:customStyle="1" w:styleId="24">
    <w:name w:val="一级条标题 Char"/>
    <w:link w:val="13"/>
    <w:uiPriority w:val="0"/>
    <w:rPr>
      <w:rFonts w:ascii="黑体" w:eastAsia="黑体"/>
      <w:sz w:val="21"/>
      <w:szCs w:val="21"/>
    </w:rPr>
  </w:style>
  <w:style w:type="paragraph" w:customStyle="1" w:styleId="25">
    <w:name w:val="三级条标题"/>
    <w:basedOn w:val="15"/>
    <w:next w:val="12"/>
    <w:qFormat/>
    <w:uiPriority w:val="0"/>
    <w:pPr>
      <w:numPr>
        <w:ilvl w:val="0"/>
        <w:numId w:val="0"/>
      </w:numPr>
      <w:outlineLvl w:val="4"/>
    </w:pPr>
  </w:style>
  <w:style w:type="paragraph" w:customStyle="1" w:styleId="26">
    <w:name w:val="四级条标题"/>
    <w:basedOn w:val="25"/>
    <w:next w:val="12"/>
    <w:uiPriority w:val="0"/>
    <w:pPr>
      <w:outlineLvl w:val="5"/>
    </w:pPr>
  </w:style>
  <w:style w:type="paragraph" w:customStyle="1" w:styleId="27">
    <w:name w:val="五级条标题"/>
    <w:basedOn w:val="26"/>
    <w:next w:val="12"/>
    <w:uiPriority w:val="0"/>
    <w:pPr>
      <w:outlineLvl w:val="6"/>
    </w:pPr>
  </w:style>
  <w:style w:type="paragraph" w:styleId="2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17</Pages>
  <Words>8031</Words>
  <Characters>10082</Characters>
  <Lines>76</Lines>
  <Paragraphs>21</Paragraphs>
  <TotalTime>1</TotalTime>
  <ScaleCrop>false</ScaleCrop>
  <LinksUpToDate>false</LinksUpToDate>
  <CharactersWithSpaces>10184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2022-09-30T02:31:00Z</dcterms:created>
  <dc:creator>微软用户</dc:creator>
  <cp:lastModifiedBy>王凤</cp:lastModifiedBy>
  <dcterms:modified xsi:type="dcterms:W3CDTF">2022-11-16T02:00:05Z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121FC054EEA1415FB59E15D05E43B18E</vt:lpwstr>
  </property>
</Properties>
</file>