
<file path=[Content_Types].xml><?xml version="1.0" encoding="utf-8"?>
<Types xmlns="http://schemas.openxmlformats.org/package/2006/content-types">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Theme="minorEastAsia" w:hAnsiTheme="minorEastAsia"/>
          <w:sz w:val="32"/>
          <w:szCs w:val="32"/>
        </w:rPr>
      </w:pPr>
      <w:r>
        <w:rPr>
          <w:rFonts w:hint="eastAsia" w:asciiTheme="minorEastAsia" w:hAnsiTheme="minorEastAsia"/>
          <w:sz w:val="32"/>
          <w:szCs w:val="32"/>
        </w:rPr>
        <w:t>《</w:t>
      </w:r>
      <w:bookmarkStart w:id="0" w:name="NEW_STAND_NAME"/>
      <w:r>
        <w:rPr>
          <w:rFonts w:hint="eastAsia" w:asciiTheme="minorEastAsia" w:hAnsiTheme="minorEastAsia"/>
          <w:sz w:val="32"/>
          <w:szCs w:val="32"/>
        </w:rPr>
        <w:t>智能砂型系统  第1部分：铸铁件镂空砂型设计规范</w:t>
      </w:r>
      <w:bookmarkEnd w:id="0"/>
      <w:r>
        <w:rPr>
          <w:rFonts w:hint="eastAsia" w:asciiTheme="minorEastAsia" w:hAnsiTheme="minorEastAsia"/>
          <w:sz w:val="32"/>
          <w:szCs w:val="32"/>
        </w:rPr>
        <w:t>》</w:t>
      </w:r>
    </w:p>
    <w:p>
      <w:pPr>
        <w:jc w:val="center"/>
        <w:outlineLvl w:val="0"/>
        <w:rPr>
          <w:rFonts w:asciiTheme="minorEastAsia" w:hAnsiTheme="minorEastAsia"/>
          <w:sz w:val="32"/>
          <w:szCs w:val="32"/>
        </w:rPr>
      </w:pPr>
      <w:r>
        <w:rPr>
          <w:rFonts w:hint="eastAsia" w:asciiTheme="minorEastAsia" w:hAnsiTheme="minorEastAsia"/>
          <w:sz w:val="32"/>
          <w:szCs w:val="32"/>
        </w:rPr>
        <w:t>团体标准编制说明</w:t>
      </w:r>
    </w:p>
    <w:p>
      <w:pPr>
        <w:jc w:val="center"/>
        <w:outlineLvl w:val="0"/>
        <w:rPr>
          <w:rFonts w:asciiTheme="minorEastAsia" w:hAnsiTheme="minorEastAsia"/>
          <w:sz w:val="32"/>
          <w:szCs w:val="32"/>
        </w:rPr>
      </w:pPr>
      <w:r>
        <w:rPr>
          <w:rFonts w:hint="eastAsia" w:asciiTheme="minorEastAsia" w:hAnsiTheme="minorEastAsia"/>
          <w:sz w:val="32"/>
          <w:szCs w:val="32"/>
        </w:rPr>
        <w:t>(征求意见稿)</w:t>
      </w:r>
    </w:p>
    <w:p>
      <w:pPr>
        <w:spacing w:before="156" w:beforeLines="50" w:after="156" w:afterLines="50" w:line="440" w:lineRule="exact"/>
        <w:ind w:firstLine="240" w:firstLineChars="100"/>
        <w:outlineLvl w:val="0"/>
        <w:rPr>
          <w:rFonts w:ascii="黑体" w:hAnsi="黑体" w:eastAsia="黑体"/>
          <w:sz w:val="24"/>
          <w:szCs w:val="24"/>
        </w:rPr>
      </w:pPr>
      <w:r>
        <w:rPr>
          <w:rFonts w:ascii="黑体" w:hAnsi="黑体" w:eastAsia="黑体" w:cs="Times New Roman"/>
          <w:sz w:val="24"/>
          <w:szCs w:val="24"/>
        </w:rPr>
        <w:t>1</w:t>
      </w:r>
      <w:r>
        <w:rPr>
          <w:rFonts w:hint="eastAsia" w:ascii="黑体" w:hAnsi="黑体" w:eastAsia="黑体"/>
          <w:sz w:val="24"/>
          <w:szCs w:val="24"/>
        </w:rPr>
        <w:t>、</w:t>
      </w:r>
      <w:r>
        <w:rPr>
          <w:rFonts w:ascii="黑体" w:hAnsi="黑体" w:eastAsia="黑体"/>
          <w:sz w:val="24"/>
          <w:szCs w:val="24"/>
        </w:rPr>
        <w:t>任务来源、</w:t>
      </w:r>
      <w:r>
        <w:rPr>
          <w:rFonts w:hint="eastAsia" w:ascii="黑体" w:hAnsi="黑体" w:eastAsia="黑体"/>
          <w:sz w:val="24"/>
          <w:szCs w:val="24"/>
        </w:rPr>
        <w:t>工作简要过程</w:t>
      </w:r>
      <w:r>
        <w:rPr>
          <w:rFonts w:ascii="黑体" w:hAnsi="黑体" w:eastAsia="黑体"/>
          <w:sz w:val="24"/>
          <w:szCs w:val="24"/>
        </w:rPr>
        <w:t>、主要参加单位和工作组成员等</w:t>
      </w:r>
    </w:p>
    <w:p>
      <w:pPr>
        <w:spacing w:before="156" w:beforeLines="50" w:after="156" w:afterLines="50" w:line="440" w:lineRule="exact"/>
        <w:ind w:firstLine="240" w:firstLineChars="100"/>
        <w:outlineLvl w:val="0"/>
        <w:rPr>
          <w:rFonts w:ascii="黑体" w:hAnsi="黑体" w:eastAsia="黑体" w:cs="Times New Roman"/>
          <w:sz w:val="24"/>
          <w:szCs w:val="24"/>
        </w:rPr>
      </w:pPr>
      <w:r>
        <w:rPr>
          <w:rFonts w:hint="eastAsia" w:ascii="黑体" w:hAnsi="黑体" w:eastAsia="黑体" w:cs="Times New Roman"/>
          <w:sz w:val="24"/>
          <w:szCs w:val="24"/>
        </w:rPr>
        <w:t>1）任务来源</w:t>
      </w:r>
    </w:p>
    <w:p>
      <w:pPr>
        <w:spacing w:line="440" w:lineRule="exact"/>
        <w:ind w:firstLine="482"/>
        <w:rPr>
          <w:rFonts w:cs="Times New Roman" w:asciiTheme="minorEastAsia" w:hAnsiTheme="minorEastAsia"/>
          <w:sz w:val="24"/>
          <w:szCs w:val="24"/>
        </w:rPr>
      </w:pPr>
      <w:r>
        <w:rPr>
          <w:rFonts w:hint="eastAsia" w:cs="Times New Roman" w:asciiTheme="minorEastAsia" w:hAnsiTheme="minorEastAsia"/>
          <w:sz w:val="24"/>
          <w:szCs w:val="24"/>
        </w:rPr>
        <w:t>本项目是依据中国铸造协会2022年6月23日【2022】53号批复的团体标准立项，项目编号为T/CFA 2022017，项目名称为“智能砂型系统  第1部分：铸铁件镂空砂型设计规范”。本项目是制订项目。主要起草单位: 共享装备股份有限公司、共享智能铸造产业创新中心有限公司、清华大学、国家数字化设计与制造创新中心、国家数字化设计与制造创新中心北京中心、天津万立鑫晟新材料技术研究院有限公司、广东峰华卓立科技股份有限公司。计划完成时间为202</w:t>
      </w:r>
      <w:r>
        <w:rPr>
          <w:rFonts w:cs="Times New Roman" w:asciiTheme="minorEastAsia" w:hAnsiTheme="minorEastAsia"/>
          <w:sz w:val="24"/>
          <w:szCs w:val="24"/>
        </w:rPr>
        <w:t>2</w:t>
      </w:r>
      <w:r>
        <w:rPr>
          <w:rFonts w:hint="eastAsia" w:cs="Times New Roman" w:asciiTheme="minorEastAsia" w:hAnsiTheme="minorEastAsia"/>
          <w:sz w:val="24"/>
          <w:szCs w:val="24"/>
        </w:rPr>
        <w:t>年。</w:t>
      </w:r>
    </w:p>
    <w:p>
      <w:pPr>
        <w:spacing w:before="156" w:beforeLines="50" w:after="156" w:afterLines="50" w:line="440" w:lineRule="exact"/>
        <w:ind w:firstLine="240" w:firstLineChars="100"/>
        <w:outlineLvl w:val="0"/>
        <w:rPr>
          <w:rFonts w:ascii="黑体" w:hAnsi="黑体" w:eastAsia="黑体" w:cs="Times New Roman"/>
          <w:sz w:val="24"/>
          <w:szCs w:val="24"/>
        </w:rPr>
      </w:pPr>
      <w:r>
        <w:rPr>
          <w:rFonts w:hint="eastAsia" w:ascii="黑体" w:hAnsi="黑体" w:eastAsia="黑体" w:cs="Times New Roman"/>
          <w:sz w:val="24"/>
          <w:szCs w:val="24"/>
        </w:rPr>
        <w:t>2</w:t>
      </w:r>
      <w:r>
        <w:rPr>
          <w:rFonts w:ascii="黑体" w:hAnsi="黑体" w:eastAsia="黑体" w:cs="Times New Roman"/>
          <w:sz w:val="24"/>
          <w:szCs w:val="24"/>
        </w:rPr>
        <w:t>)</w:t>
      </w:r>
      <w:r>
        <w:rPr>
          <w:rFonts w:hint="eastAsia" w:ascii="黑体" w:hAnsi="黑体" w:eastAsia="黑体" w:cs="Times New Roman"/>
          <w:sz w:val="24"/>
          <w:szCs w:val="24"/>
        </w:rPr>
        <w:t>工作简要过程</w:t>
      </w:r>
    </w:p>
    <w:p>
      <w:pPr>
        <w:spacing w:line="440" w:lineRule="exact"/>
        <w:ind w:firstLine="482"/>
        <w:rPr>
          <w:rFonts w:cs="Times New Roman" w:asciiTheme="minorEastAsia" w:hAnsiTheme="minorEastAsia"/>
          <w:color w:val="000000" w:themeColor="text1"/>
          <w:sz w:val="24"/>
          <w:szCs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标准起草单位于2021</w:t>
      </w:r>
      <w:r>
        <w:rPr>
          <w:rFonts w:cs="Times New Roman" w:asciiTheme="minorEastAsia" w:hAnsiTheme="minorEastAsia"/>
          <w:color w:val="000000" w:themeColor="text1"/>
          <w:sz w:val="24"/>
          <w:szCs w:val="24"/>
          <w14:textFill>
            <w14:solidFill>
              <w14:schemeClr w14:val="tx1"/>
            </w14:solidFill>
          </w14:textFill>
        </w:rPr>
        <w:t>年</w:t>
      </w:r>
      <w:r>
        <w:rPr>
          <w:rFonts w:hint="eastAsia" w:cs="Times New Roman" w:asciiTheme="minorEastAsia" w:hAnsiTheme="minorEastAsia"/>
          <w:color w:val="000000" w:themeColor="text1"/>
          <w:sz w:val="24"/>
          <w:szCs w:val="24"/>
          <w14:textFill>
            <w14:solidFill>
              <w14:schemeClr w14:val="tx1"/>
            </w14:solidFill>
          </w14:textFill>
        </w:rPr>
        <w:t>5</w:t>
      </w:r>
      <w:r>
        <w:rPr>
          <w:rFonts w:cs="Times New Roman" w:asciiTheme="minorEastAsia" w:hAnsiTheme="minorEastAsia"/>
          <w:color w:val="000000" w:themeColor="text1"/>
          <w:sz w:val="24"/>
          <w:szCs w:val="24"/>
          <w14:textFill>
            <w14:solidFill>
              <w14:schemeClr w14:val="tx1"/>
            </w14:solidFill>
          </w14:textFill>
        </w:rPr>
        <w:t>月</w:t>
      </w:r>
      <w:r>
        <w:rPr>
          <w:rFonts w:hint="eastAsia" w:cs="Times New Roman" w:asciiTheme="minorEastAsia" w:hAnsiTheme="minorEastAsia"/>
          <w:color w:val="000000" w:themeColor="text1"/>
          <w:sz w:val="24"/>
          <w:szCs w:val="24"/>
          <w14:textFill>
            <w14:solidFill>
              <w14:schemeClr w14:val="tx1"/>
            </w14:solidFill>
          </w14:textFill>
        </w:rPr>
        <w:t>1</w:t>
      </w:r>
      <w:r>
        <w:rPr>
          <w:rFonts w:cs="Times New Roman" w:asciiTheme="minorEastAsia" w:hAnsiTheme="minorEastAsia"/>
          <w:color w:val="000000" w:themeColor="text1"/>
          <w:sz w:val="24"/>
          <w:szCs w:val="24"/>
          <w14:textFill>
            <w14:solidFill>
              <w14:schemeClr w14:val="tx1"/>
            </w14:solidFill>
          </w14:textFill>
        </w:rPr>
        <w:t>日成立了起草工作组，由</w:t>
      </w:r>
      <w:r>
        <w:rPr>
          <w:rFonts w:hint="eastAsia" w:cs="Times New Roman" w:asciiTheme="minorEastAsia" w:hAnsiTheme="minorEastAsia"/>
          <w:color w:val="000000" w:themeColor="text1"/>
          <w:sz w:val="24"/>
          <w:szCs w:val="24"/>
          <w14:textFill>
            <w14:solidFill>
              <w14:schemeClr w14:val="tx1"/>
            </w14:solidFill>
          </w14:textFill>
        </w:rPr>
        <w:t>共享装备股份有限公司</w:t>
      </w:r>
      <w:r>
        <w:rPr>
          <w:rFonts w:cs="Times New Roman" w:asciiTheme="minorEastAsia" w:hAnsiTheme="minorEastAsia"/>
          <w:color w:val="000000" w:themeColor="text1"/>
          <w:sz w:val="24"/>
          <w:szCs w:val="24"/>
          <w14:textFill>
            <w14:solidFill>
              <w14:schemeClr w14:val="tx1"/>
            </w14:solidFill>
          </w14:textFill>
        </w:rPr>
        <w:t>为组长单位，负责主要起草工作。工作组对国内外</w:t>
      </w:r>
      <w:r>
        <w:rPr>
          <w:rFonts w:hint="eastAsia" w:cs="Times New Roman" w:asciiTheme="minorEastAsia" w:hAnsiTheme="minorEastAsia"/>
          <w:color w:val="000000" w:themeColor="text1"/>
          <w:sz w:val="24"/>
          <w:szCs w:val="24"/>
          <w14:textFill>
            <w14:solidFill>
              <w14:schemeClr w14:val="tx1"/>
            </w14:solidFill>
          </w14:textFill>
        </w:rPr>
        <w:t>镂空铸型设计的</w:t>
      </w:r>
      <w:r>
        <w:rPr>
          <w:rFonts w:cs="Times New Roman" w:asciiTheme="minorEastAsia" w:hAnsiTheme="minorEastAsia"/>
          <w:color w:val="000000" w:themeColor="text1"/>
          <w:sz w:val="24"/>
          <w:szCs w:val="24"/>
          <w14:textFill>
            <w14:solidFill>
              <w14:schemeClr w14:val="tx1"/>
            </w14:solidFill>
          </w14:textFill>
        </w:rPr>
        <w:t>技术现状与发展情况进行全面调研，同时广泛搜集相关标准和国内外技术资料，进行了大量的研究分析、资料查证工作，结合实际应用经验，进行全面总结和归纳，在此基础上编制出《</w:t>
      </w:r>
      <w:r>
        <w:rPr>
          <w:rFonts w:hint="eastAsia" w:cs="Times New Roman" w:asciiTheme="minorEastAsia" w:hAnsiTheme="minorEastAsia"/>
          <w:color w:val="000000" w:themeColor="text1"/>
          <w:sz w:val="24"/>
          <w:szCs w:val="24"/>
          <w14:textFill>
            <w14:solidFill>
              <w14:schemeClr w14:val="tx1"/>
            </w14:solidFill>
          </w14:textFill>
        </w:rPr>
        <w:t>《智能砂型系统  第1部分：铸铁件镂空砂型设计规范》</w:t>
      </w:r>
      <w:r>
        <w:rPr>
          <w:rFonts w:cs="Times New Roman" w:asciiTheme="minorEastAsia" w:hAnsiTheme="minorEastAsia"/>
          <w:color w:val="000000" w:themeColor="text1"/>
          <w:sz w:val="24"/>
          <w:szCs w:val="24"/>
          <w14:textFill>
            <w14:solidFill>
              <w14:schemeClr w14:val="tx1"/>
            </w14:solidFill>
          </w14:textFill>
        </w:rPr>
        <w:t>标准草案初稿。</w:t>
      </w:r>
      <w:r>
        <w:rPr>
          <w:rFonts w:hint="eastAsia" w:cs="Times New Roman" w:asciiTheme="minorEastAsia" w:hAnsiTheme="minorEastAsia"/>
          <w:color w:val="000000" w:themeColor="text1"/>
          <w:sz w:val="24"/>
          <w:szCs w:val="24"/>
          <w14:textFill>
            <w14:solidFill>
              <w14:schemeClr w14:val="tx1"/>
            </w14:solidFill>
          </w14:textFill>
        </w:rPr>
        <w:t>2022年1月份提交中国铸造协会组织专家进行了研讨，对标准的框架及内容进行了讨论和确定，起草单位进行了修订后并申请立项，中国铸造协会组织专家进行了评议，于2022年6月23日批复立项。标准起草组依据专家提出的一些意见对标准进行了修改和完善，形成标准的征求意见稿，并于2022年8</w:t>
      </w:r>
      <w:r>
        <w:rPr>
          <w:rFonts w:cs="Times New Roman" w:asciiTheme="minorEastAsia" w:hAnsiTheme="minorEastAsia"/>
          <w:color w:val="000000" w:themeColor="text1"/>
          <w:sz w:val="24"/>
          <w:szCs w:val="24"/>
          <w14:textFill>
            <w14:solidFill>
              <w14:schemeClr w14:val="tx1"/>
            </w14:solidFill>
          </w14:textFill>
        </w:rPr>
        <w:t>年</w:t>
      </w:r>
      <w:r>
        <w:rPr>
          <w:rFonts w:hint="eastAsia" w:cs="Times New Roman" w:asciiTheme="minorEastAsia" w:hAnsiTheme="minorEastAsia"/>
          <w:color w:val="000000" w:themeColor="text1"/>
          <w:sz w:val="24"/>
          <w:szCs w:val="24"/>
          <w14:textFill>
            <w14:solidFill>
              <w14:schemeClr w14:val="tx1"/>
            </w14:solidFill>
          </w14:textFill>
        </w:rPr>
        <w:t>5</w:t>
      </w:r>
      <w:r>
        <w:rPr>
          <w:rFonts w:cs="Times New Roman" w:asciiTheme="minorEastAsia" w:hAnsiTheme="minorEastAsia"/>
          <w:color w:val="000000" w:themeColor="text1"/>
          <w:sz w:val="24"/>
          <w:szCs w:val="24"/>
          <w14:textFill>
            <w14:solidFill>
              <w14:schemeClr w14:val="tx1"/>
            </w14:solidFill>
          </w14:textFill>
        </w:rPr>
        <w:t>月，报中铸协标准工作委员会秘书处。</w:t>
      </w:r>
    </w:p>
    <w:p>
      <w:pPr>
        <w:spacing w:before="156" w:beforeLines="50" w:after="156" w:afterLines="50" w:line="440" w:lineRule="exact"/>
        <w:ind w:firstLine="240" w:firstLineChars="100"/>
        <w:outlineLvl w:val="0"/>
        <w:rPr>
          <w:rFonts w:ascii="黑体" w:hAnsi="黑体" w:eastAsia="黑体" w:cs="Times New Roman"/>
          <w:sz w:val="24"/>
          <w:szCs w:val="24"/>
        </w:rPr>
      </w:pPr>
      <w:r>
        <w:rPr>
          <w:rFonts w:ascii="黑体" w:hAnsi="黑体" w:eastAsia="黑体" w:cs="Times New Roman"/>
          <w:sz w:val="24"/>
          <w:szCs w:val="24"/>
        </w:rPr>
        <w:t>3</w:t>
      </w:r>
      <w:r>
        <w:rPr>
          <w:rFonts w:hint="eastAsia" w:ascii="黑体" w:hAnsi="黑体" w:eastAsia="黑体" w:cs="Times New Roman"/>
          <w:sz w:val="24"/>
          <w:szCs w:val="24"/>
        </w:rPr>
        <w:t>）主要参加单位和工作组成员及其所做的工作</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本文件起草单位：</w:t>
      </w:r>
      <w:r>
        <w:rPr>
          <w:rFonts w:cs="Times New Roman" w:asciiTheme="minorEastAsia" w:hAnsiTheme="minorEastAsia"/>
          <w:sz w:val="24"/>
          <w:szCs w:val="24"/>
        </w:rPr>
        <w:t>共享装备股份有限公司、共享智能铸造产业创新中心有限公司、清华大学、国家数字化设计与制造创新中心、国家数字化设计与制造创新中心北京中心、天津万立鑫晟新材料技术研究院有限公司</w:t>
      </w:r>
      <w:r>
        <w:rPr>
          <w:rFonts w:hint="eastAsia" w:cs="Times New Roman" w:asciiTheme="minorEastAsia" w:hAnsiTheme="minorEastAsia"/>
          <w:sz w:val="24"/>
          <w:szCs w:val="24"/>
        </w:rPr>
        <w:t>、广东峰华卓立科技股份有限公司</w:t>
      </w:r>
      <w:r>
        <w:rPr>
          <w:rFonts w:cs="Times New Roman" w:asciiTheme="minorEastAsia" w:hAnsiTheme="minorEastAsia"/>
          <w:sz w:val="24"/>
          <w:szCs w:val="24"/>
        </w:rPr>
        <w:t>。</w:t>
      </w:r>
    </w:p>
    <w:p>
      <w:pPr>
        <w:spacing w:line="440" w:lineRule="exact"/>
        <w:ind w:firstLine="480" w:firstLineChars="200"/>
      </w:pPr>
      <w:r>
        <w:rPr>
          <w:rFonts w:hint="eastAsia" w:cs="Times New Roman" w:asciiTheme="minorEastAsia" w:hAnsiTheme="minorEastAsia"/>
          <w:sz w:val="24"/>
          <w:szCs w:val="24"/>
        </w:rPr>
        <w:t>本文件主要起草人：xx、xxx、。</w:t>
      </w:r>
      <w:r>
        <w:rPr>
          <w:rFonts w:cs="Times New Roman" w:asciiTheme="minorEastAsia" w:hAnsiTheme="minorEastAsia"/>
          <w:sz w:val="24"/>
          <w:szCs w:val="24"/>
        </w:rPr>
        <w:t xml:space="preserve">   </w:t>
      </w:r>
      <w:r>
        <w:rPr>
          <w:rFonts w:ascii="Times New Roman" w:hAnsi="Times New Roman" w:eastAsia="宋体" w:cs="Times New Roman"/>
          <w:szCs w:val="24"/>
          <w:lang w:bidi="ar"/>
        </w:rPr>
        <w:t xml:space="preserve">  </w:t>
      </w:r>
    </w:p>
    <w:p>
      <w:pPr>
        <w:spacing w:line="440" w:lineRule="exact"/>
        <w:ind w:firstLine="480" w:firstLineChars="200"/>
        <w:rPr>
          <w:rFonts w:cs="Times New Roman" w:asciiTheme="minorEastAsia" w:hAnsiTheme="minorEastAsia"/>
          <w:sz w:val="24"/>
          <w:szCs w:val="24"/>
        </w:rPr>
      </w:pPr>
    </w:p>
    <w:p>
      <w:pPr>
        <w:spacing w:before="156" w:beforeLines="50" w:after="156" w:afterLines="50" w:line="440" w:lineRule="exact"/>
        <w:ind w:firstLine="240" w:firstLineChars="100"/>
        <w:outlineLvl w:val="0"/>
        <w:rPr>
          <w:rFonts w:ascii="黑体" w:hAnsi="黑体" w:eastAsia="黑体" w:cs="Times New Roman"/>
          <w:sz w:val="24"/>
          <w:szCs w:val="24"/>
        </w:rPr>
      </w:pPr>
      <w:r>
        <w:rPr>
          <w:rFonts w:ascii="黑体" w:hAnsi="黑体" w:eastAsia="黑体" w:cs="Times New Roman"/>
          <w:sz w:val="24"/>
          <w:szCs w:val="24"/>
        </w:rPr>
        <w:t>2</w:t>
      </w:r>
      <w:r>
        <w:rPr>
          <w:rFonts w:hint="eastAsia" w:ascii="黑体" w:hAnsi="黑体" w:eastAsia="黑体" w:cs="Times New Roman"/>
          <w:sz w:val="24"/>
          <w:szCs w:val="24"/>
        </w:rPr>
        <w:t>、标准化对象简要情况</w:t>
      </w:r>
      <w:r>
        <w:rPr>
          <w:rFonts w:ascii="黑体" w:hAnsi="黑体" w:eastAsia="黑体" w:cs="Times New Roman"/>
          <w:sz w:val="24"/>
          <w:szCs w:val="24"/>
        </w:rPr>
        <w:t>及制修订标准的原则</w:t>
      </w:r>
    </w:p>
    <w:p>
      <w:pPr>
        <w:spacing w:before="156" w:beforeLines="50" w:after="156" w:afterLines="50" w:line="440" w:lineRule="exact"/>
        <w:ind w:firstLine="240" w:firstLineChars="100"/>
        <w:outlineLvl w:val="0"/>
        <w:rPr>
          <w:rFonts w:ascii="黑体" w:hAnsi="黑体" w:eastAsia="黑体" w:cs="Times New Roman"/>
          <w:sz w:val="24"/>
          <w:szCs w:val="24"/>
        </w:rPr>
      </w:pPr>
      <w:r>
        <w:rPr>
          <w:rFonts w:ascii="黑体" w:hAnsi="黑体" w:eastAsia="黑体" w:cs="Times New Roman"/>
          <w:sz w:val="24"/>
          <w:szCs w:val="24"/>
        </w:rPr>
        <w:t>1)</w:t>
      </w:r>
      <w:r>
        <w:rPr>
          <w:rFonts w:hint="eastAsia" w:ascii="黑体" w:hAnsi="黑体" w:eastAsia="黑体" w:cs="Times New Roman"/>
          <w:sz w:val="24"/>
          <w:szCs w:val="24"/>
        </w:rPr>
        <w:t>标准化对象简要情况</w:t>
      </w:r>
    </w:p>
    <w:p>
      <w:pPr>
        <w:pStyle w:val="16"/>
        <w:spacing w:line="440" w:lineRule="exact"/>
        <w:ind w:firstLine="480"/>
        <w:rPr>
          <w:rFonts w:asciiTheme="minorEastAsia" w:hAnsiTheme="minorEastAsia" w:eastAsiaTheme="minorEastAsia"/>
          <w:sz w:val="24"/>
          <w:szCs w:val="24"/>
        </w:rPr>
      </w:pPr>
      <w:r>
        <w:rPr>
          <w:rFonts w:asciiTheme="minorEastAsia" w:hAnsiTheme="minorEastAsia" w:eastAsiaTheme="minorEastAsia"/>
          <w:sz w:val="24"/>
          <w:szCs w:val="24"/>
        </w:rPr>
        <w:t>本标准的标准化对象：</w:t>
      </w:r>
      <w:r>
        <w:rPr>
          <w:rFonts w:hint="eastAsia" w:asciiTheme="minorEastAsia" w:hAnsiTheme="minorEastAsia" w:eastAsiaTheme="minorEastAsia"/>
          <w:sz w:val="24"/>
          <w:szCs w:val="24"/>
        </w:rPr>
        <w:t>铸铁件镂空砂型</w:t>
      </w:r>
      <w:r>
        <w:rPr>
          <w:rFonts w:asciiTheme="minorEastAsia" w:hAnsiTheme="minorEastAsia" w:eastAsiaTheme="minorEastAsia"/>
          <w:sz w:val="24"/>
          <w:szCs w:val="24"/>
        </w:rPr>
        <w:t>。</w:t>
      </w:r>
      <w:r>
        <w:rPr>
          <w:rFonts w:hint="eastAsia" w:asciiTheme="minorEastAsia" w:hAnsiTheme="minorEastAsia" w:eastAsiaTheme="minorEastAsia"/>
          <w:sz w:val="24"/>
          <w:szCs w:val="24"/>
        </w:rPr>
        <w:t>增材制造技术为古老的铸造技术提供了新的发展机遇和新思路，尤其是为铸型设计提供了颠覆性的新思路和制备手段。铸型的镂空化是实现智能铸型的基础，是智能铸造的关键，是实现铸件铸造过程闭环控制冷却的保障。本标准围绕镂空砂型设计，明确了镂空砂型设计的目的，提出了镂空砂型设计的原则，制定了镂空砂型设计技术规范。通过标准的制定和实施，将推进智能铸造技术的发展，将推进增材制造技术的普及，为推进铸造产业结构调整与优化升级创造条件，为实现铸造智能化奠定基础，推动铸造行业的科技进步；同时将改变传统铸造的生产模式，提高生产效率和响应速度，降低生产成本，缩短铸造工艺流程，改善铸造生产作业环境，减少对环境的不利影响。国际和国内标准中没有相关镂空砂型设计技术规范，特制定此标准用于规范镂空砂型工艺。</w:t>
      </w:r>
    </w:p>
    <w:p>
      <w:pPr>
        <w:spacing w:before="156" w:beforeLines="50" w:after="156" w:afterLines="50" w:line="440" w:lineRule="exact"/>
        <w:ind w:firstLine="240" w:firstLineChars="100"/>
        <w:outlineLvl w:val="0"/>
        <w:rPr>
          <w:rFonts w:ascii="黑体" w:hAnsi="黑体" w:eastAsia="黑体" w:cs="Times New Roman"/>
          <w:sz w:val="24"/>
          <w:szCs w:val="24"/>
        </w:rPr>
      </w:pPr>
      <w:r>
        <w:rPr>
          <w:rFonts w:ascii="黑体" w:hAnsi="黑体" w:eastAsia="黑体" w:cs="Times New Roman"/>
          <w:sz w:val="24"/>
          <w:szCs w:val="24"/>
        </w:rPr>
        <w:t>2)</w:t>
      </w:r>
      <w:r>
        <w:rPr>
          <w:rFonts w:hint="eastAsia" w:ascii="黑体" w:hAnsi="黑体" w:eastAsia="黑体" w:cs="Times New Roman"/>
          <w:sz w:val="24"/>
          <w:szCs w:val="24"/>
        </w:rPr>
        <w:t>制订标准的</w:t>
      </w:r>
      <w:r>
        <w:rPr>
          <w:rFonts w:ascii="黑体" w:hAnsi="黑体" w:eastAsia="黑体" w:cs="Times New Roman"/>
          <w:sz w:val="24"/>
          <w:szCs w:val="24"/>
        </w:rPr>
        <w:t>原则</w:t>
      </w:r>
    </w:p>
    <w:p>
      <w:pPr>
        <w:spacing w:before="156" w:beforeLines="50" w:after="156" w:afterLines="50" w:line="440" w:lineRule="exact"/>
        <w:ind w:firstLine="480" w:firstLineChars="200"/>
        <w:rPr>
          <w:rFonts w:asciiTheme="minorEastAsia" w:hAnsiTheme="minorEastAsia"/>
          <w:sz w:val="24"/>
          <w:szCs w:val="24"/>
        </w:rPr>
      </w:pPr>
      <w:r>
        <w:rPr>
          <w:rFonts w:hint="eastAsia" w:asciiTheme="minorEastAsia" w:hAnsiTheme="minorEastAsia"/>
          <w:sz w:val="24"/>
          <w:szCs w:val="24"/>
        </w:rPr>
        <w:t>（</w:t>
      </w:r>
      <w:r>
        <w:rPr>
          <w:rFonts w:asciiTheme="minorEastAsia" w:hAnsiTheme="minorEastAsia"/>
          <w:sz w:val="24"/>
          <w:szCs w:val="24"/>
        </w:rPr>
        <w:t>1）制订标准的依</w:t>
      </w:r>
      <w:r>
        <w:rPr>
          <w:rFonts w:hint="eastAsia" w:asciiTheme="minorEastAsia" w:hAnsiTheme="minorEastAsia"/>
          <w:sz w:val="24"/>
          <w:szCs w:val="24"/>
        </w:rPr>
        <w:t>据</w:t>
      </w:r>
      <w:r>
        <w:rPr>
          <w:rFonts w:asciiTheme="minorEastAsia" w:hAnsiTheme="minorEastAsia"/>
          <w:sz w:val="24"/>
          <w:szCs w:val="24"/>
        </w:rPr>
        <w:t>和理由</w:t>
      </w:r>
    </w:p>
    <w:p>
      <w:pPr>
        <w:spacing w:before="156" w:beforeLines="50" w:after="156" w:afterLines="50" w:line="440" w:lineRule="exact"/>
        <w:ind w:firstLine="480" w:firstLineChars="200"/>
        <w:rPr>
          <w:rFonts w:asciiTheme="minorEastAsia" w:hAnsiTheme="minorEastAsia"/>
          <w:sz w:val="24"/>
          <w:szCs w:val="24"/>
        </w:rPr>
      </w:pPr>
      <w:r>
        <w:rPr>
          <w:rFonts w:hint="eastAsia" w:asciiTheme="minorEastAsia" w:hAnsiTheme="minorEastAsia"/>
          <w:sz w:val="24"/>
          <w:szCs w:val="24"/>
        </w:rPr>
        <w:t>本标准在起草过程中主要按</w:t>
      </w:r>
      <w:r>
        <w:rPr>
          <w:rFonts w:cs="Times New Roman" w:asciiTheme="minorEastAsia" w:hAnsiTheme="minorEastAsia"/>
          <w:sz w:val="24"/>
          <w:szCs w:val="24"/>
        </w:rPr>
        <w:t>GB/T 1.1</w:t>
      </w:r>
      <w:r>
        <w:rPr>
          <w:rFonts w:hint="eastAsia" w:cs="Times New Roman" w:asciiTheme="minorEastAsia" w:hAnsiTheme="minorEastAsia"/>
          <w:sz w:val="24"/>
          <w:szCs w:val="24"/>
        </w:rPr>
        <w:t>—2020</w:t>
      </w:r>
      <w:r>
        <w:rPr>
          <w:rFonts w:hint="eastAsia" w:asciiTheme="minorEastAsia" w:hAnsiTheme="minorEastAsia"/>
          <w:sz w:val="24"/>
          <w:szCs w:val="24"/>
        </w:rPr>
        <w:t>《标准化工作导则  第</w:t>
      </w:r>
      <w:r>
        <w:rPr>
          <w:rFonts w:asciiTheme="minorEastAsia" w:hAnsiTheme="minorEastAsia"/>
          <w:sz w:val="24"/>
          <w:szCs w:val="24"/>
        </w:rPr>
        <w:t>1</w:t>
      </w:r>
      <w:r>
        <w:rPr>
          <w:rFonts w:hint="eastAsia" w:asciiTheme="minorEastAsia" w:hAnsiTheme="minorEastAsia"/>
          <w:sz w:val="24"/>
          <w:szCs w:val="24"/>
        </w:rPr>
        <w:t>部分</w:t>
      </w:r>
      <w:r>
        <w:rPr>
          <w:rFonts w:asciiTheme="minorEastAsia" w:hAnsiTheme="minorEastAsia"/>
          <w:sz w:val="24"/>
          <w:szCs w:val="24"/>
        </w:rPr>
        <w:t>:</w:t>
      </w:r>
      <w:r>
        <w:rPr>
          <w:rFonts w:hint="eastAsia" w:asciiTheme="minorEastAsia" w:hAnsiTheme="minorEastAsia"/>
          <w:sz w:val="24"/>
          <w:szCs w:val="24"/>
        </w:rPr>
        <w:t>标准的结构和编写规则》的要求编写。在确定本标准主要技术指标时，综合考虑生产企业的能力和用户的利益，寻求最大的经济、社会效益，充分体现了标准在技术上的先进性和合理性。</w:t>
      </w:r>
    </w:p>
    <w:p>
      <w:pPr>
        <w:spacing w:before="156" w:beforeLines="50" w:after="156" w:afterLines="50" w:line="440" w:lineRule="exact"/>
        <w:ind w:firstLine="480" w:firstLineChars="200"/>
        <w:rPr>
          <w:rFonts w:asciiTheme="minorEastAsia" w:hAnsiTheme="minorEastAsia"/>
          <w:sz w:val="24"/>
          <w:szCs w:val="24"/>
        </w:rPr>
      </w:pPr>
      <w:r>
        <w:rPr>
          <w:rFonts w:hint="eastAsia" w:asciiTheme="minorEastAsia" w:hAnsiTheme="minorEastAsia"/>
          <w:sz w:val="24"/>
          <w:szCs w:val="24"/>
        </w:rPr>
        <w:t>（</w:t>
      </w:r>
      <w:r>
        <w:rPr>
          <w:rFonts w:cs="Times New Roman"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制订标准的</w:t>
      </w:r>
      <w:r>
        <w:rPr>
          <w:rFonts w:hint="eastAsia" w:asciiTheme="minorEastAsia" w:hAnsiTheme="minorEastAsia"/>
          <w:sz w:val="24"/>
          <w:szCs w:val="24"/>
        </w:rPr>
        <w:t>原则</w:t>
      </w:r>
    </w:p>
    <w:p>
      <w:pPr>
        <w:spacing w:before="156" w:beforeLines="50" w:after="156" w:afterLines="50" w:line="440" w:lineRule="exact"/>
        <w:ind w:firstLine="480" w:firstLineChars="200"/>
        <w:rPr>
          <w:rFonts w:asciiTheme="minorEastAsia" w:hAnsiTheme="minorEastAsia"/>
          <w:sz w:val="24"/>
          <w:szCs w:val="24"/>
        </w:rPr>
      </w:pPr>
      <w:r>
        <w:rPr>
          <w:rFonts w:hint="eastAsia" w:asciiTheme="minorEastAsia" w:hAnsiTheme="minorEastAsia"/>
          <w:sz w:val="24"/>
          <w:szCs w:val="24"/>
        </w:rPr>
        <w:t>本标准在制订过程中，遵循“面向市场、服务产业、自主制定、适时推出、及时修订、不断完善”的原则，注重标准修订与技术创新、试验验证、产业推进、应用推广相结合，本着先进性、科学性、合理性和可操作性以及标准的目标、统一性、协调性、适用性、一致性和规范性的原则来进行本标准的制定工作。</w:t>
      </w:r>
    </w:p>
    <w:p>
      <w:pPr>
        <w:spacing w:before="156" w:beforeLines="50" w:after="156" w:afterLines="50" w:line="440" w:lineRule="exact"/>
        <w:ind w:firstLine="240" w:firstLineChars="100"/>
        <w:outlineLvl w:val="0"/>
        <w:rPr>
          <w:rFonts w:ascii="黑体" w:hAnsi="黑体" w:eastAsia="黑体" w:cs="Times New Roman"/>
          <w:sz w:val="24"/>
          <w:szCs w:val="24"/>
        </w:rPr>
      </w:pPr>
      <w:r>
        <w:rPr>
          <w:rFonts w:ascii="黑体" w:hAnsi="黑体" w:eastAsia="黑体" w:cs="Times New Roman"/>
          <w:sz w:val="24"/>
          <w:szCs w:val="24"/>
        </w:rPr>
        <w:t>3</w:t>
      </w:r>
      <w:r>
        <w:rPr>
          <w:rFonts w:hint="eastAsia" w:ascii="黑体" w:hAnsi="黑体" w:eastAsia="黑体" w:cs="Times New Roman"/>
          <w:sz w:val="24"/>
          <w:szCs w:val="24"/>
        </w:rPr>
        <w:t>、与国际、国外对比情况</w:t>
      </w:r>
    </w:p>
    <w:p>
      <w:pPr>
        <w:spacing w:before="156" w:beforeLines="50" w:after="156" w:afterLines="50" w:line="440" w:lineRule="exact"/>
        <w:ind w:firstLine="432"/>
        <w:rPr>
          <w:rFonts w:asciiTheme="minorEastAsia" w:hAnsiTheme="minorEastAsia"/>
          <w:sz w:val="24"/>
          <w:szCs w:val="24"/>
        </w:rPr>
      </w:pPr>
      <w:r>
        <w:rPr>
          <w:rFonts w:hint="eastAsia" w:asciiTheme="minorEastAsia" w:hAnsiTheme="minorEastAsia"/>
          <w:sz w:val="24"/>
          <w:szCs w:val="24"/>
        </w:rPr>
        <w:t>本标准制定过程中未查到同类国内、国际、国外标准。</w:t>
      </w:r>
    </w:p>
    <w:p>
      <w:pPr>
        <w:spacing w:before="156" w:beforeLines="50" w:after="156" w:afterLines="50" w:line="440" w:lineRule="exact"/>
        <w:ind w:firstLine="432"/>
        <w:rPr>
          <w:rFonts w:asciiTheme="minorEastAsia" w:hAnsiTheme="minorEastAsia"/>
          <w:sz w:val="24"/>
          <w:szCs w:val="24"/>
        </w:rPr>
      </w:pPr>
      <w:r>
        <w:rPr>
          <w:rFonts w:hint="eastAsia" w:asciiTheme="minorEastAsia" w:hAnsiTheme="minorEastAsia"/>
          <w:sz w:val="24"/>
          <w:szCs w:val="24"/>
        </w:rPr>
        <w:t>本标准水平为国内领先水平。</w:t>
      </w:r>
    </w:p>
    <w:p>
      <w:pPr>
        <w:spacing w:before="156" w:beforeLines="50" w:after="156" w:afterLines="50" w:line="440" w:lineRule="exact"/>
        <w:ind w:firstLine="240" w:firstLineChars="100"/>
        <w:outlineLvl w:val="0"/>
        <w:rPr>
          <w:rFonts w:ascii="黑体" w:hAnsi="黑体" w:eastAsia="黑体" w:cs="Times New Roman"/>
          <w:sz w:val="24"/>
          <w:szCs w:val="24"/>
        </w:rPr>
      </w:pPr>
      <w:r>
        <w:rPr>
          <w:rFonts w:ascii="黑体" w:hAnsi="黑体" w:eastAsia="黑体" w:cs="Times New Roman"/>
          <w:sz w:val="24"/>
          <w:szCs w:val="24"/>
        </w:rPr>
        <w:t>4</w:t>
      </w:r>
      <w:r>
        <w:rPr>
          <w:rFonts w:hint="eastAsia" w:ascii="黑体" w:hAnsi="黑体" w:eastAsia="黑体" w:cs="Times New Roman"/>
          <w:sz w:val="24"/>
          <w:szCs w:val="24"/>
        </w:rPr>
        <w:t>、标准主要内容</w:t>
      </w:r>
    </w:p>
    <w:p>
      <w:pPr>
        <w:spacing w:before="156" w:beforeLines="50" w:after="156" w:afterLines="50" w:line="440" w:lineRule="exact"/>
        <w:ind w:firstLine="480" w:firstLineChars="200"/>
        <w:outlineLvl w:val="0"/>
        <w:rPr>
          <w:rFonts w:asciiTheme="minorEastAsia" w:hAnsiTheme="minorEastAsia"/>
          <w:sz w:val="24"/>
          <w:szCs w:val="24"/>
        </w:rPr>
      </w:pPr>
      <w:r>
        <w:rPr>
          <w:rFonts w:cs="Times New Roman" w:asciiTheme="minorEastAsia" w:hAnsiTheme="minorEastAsia"/>
          <w:sz w:val="24"/>
          <w:szCs w:val="24"/>
        </w:rPr>
        <w:t>1</w:t>
      </w:r>
      <w:r>
        <w:rPr>
          <w:rFonts w:hint="eastAsia" w:asciiTheme="minorEastAsia" w:hAnsiTheme="minorEastAsia"/>
          <w:sz w:val="24"/>
          <w:szCs w:val="24"/>
        </w:rPr>
        <w:t>）标准</w:t>
      </w:r>
      <w:r>
        <w:rPr>
          <w:rFonts w:asciiTheme="minorEastAsia" w:hAnsiTheme="minorEastAsia"/>
          <w:sz w:val="24"/>
          <w:szCs w:val="24"/>
        </w:rPr>
        <w:t>适用范围</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文件规定了铸铁件镂空砂型设计的设计总则和设计要求。</w:t>
      </w:r>
    </w:p>
    <w:p>
      <w:pPr>
        <w:spacing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本文件适用于铸铁件铸造生产中使用的镂空砂型的设计。</w:t>
      </w:r>
    </w:p>
    <w:p>
      <w:pPr>
        <w:spacing w:before="156" w:beforeLines="50" w:after="156" w:afterLines="50" w:line="440" w:lineRule="exact"/>
        <w:ind w:firstLine="480" w:firstLineChars="200"/>
        <w:outlineLvl w:val="0"/>
        <w:rPr>
          <w:rFonts w:asciiTheme="minorEastAsia" w:hAnsiTheme="minorEastAsia"/>
          <w:sz w:val="24"/>
          <w:szCs w:val="24"/>
        </w:rPr>
      </w:pPr>
      <w:r>
        <w:rPr>
          <w:rFonts w:cs="Times New Roman" w:asciiTheme="minorEastAsia" w:hAnsiTheme="minorEastAsia"/>
          <w:sz w:val="24"/>
          <w:szCs w:val="24"/>
        </w:rPr>
        <w:t>2</w:t>
      </w:r>
      <w:r>
        <w:rPr>
          <w:rFonts w:hint="eastAsia" w:asciiTheme="minorEastAsia" w:hAnsiTheme="minorEastAsia"/>
          <w:sz w:val="24"/>
          <w:szCs w:val="24"/>
        </w:rPr>
        <w:t>）标准内容</w:t>
      </w:r>
    </w:p>
    <w:p>
      <w:pPr>
        <w:spacing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本标准</w:t>
      </w:r>
      <w:r>
        <w:rPr>
          <w:rFonts w:hint="eastAsia" w:cs="Times New Roman" w:asciiTheme="minorEastAsia" w:hAnsiTheme="minorEastAsia"/>
          <w:sz w:val="24"/>
          <w:szCs w:val="24"/>
        </w:rPr>
        <w:t>由范围、规范性引用文件、术语和定义、设计总则和设计要求</w:t>
      </w:r>
      <w:r>
        <w:rPr>
          <w:rFonts w:cs="Times New Roman" w:asciiTheme="minorEastAsia" w:hAnsiTheme="minorEastAsia"/>
          <w:sz w:val="24"/>
          <w:szCs w:val="24"/>
        </w:rPr>
        <w:t>组成</w:t>
      </w:r>
      <w:r>
        <w:rPr>
          <w:rFonts w:hint="eastAsia" w:cs="Times New Roman" w:asciiTheme="minorEastAsia" w:hAnsiTheme="minorEastAsia"/>
          <w:sz w:val="24"/>
          <w:szCs w:val="24"/>
        </w:rPr>
        <w:t>。</w:t>
      </w:r>
    </w:p>
    <w:p>
      <w:pPr>
        <w:spacing w:before="156" w:beforeLines="50" w:after="156" w:afterLines="50" w:line="440" w:lineRule="exact"/>
        <w:ind w:firstLine="240" w:firstLineChars="100"/>
        <w:outlineLvl w:val="0"/>
        <w:rPr>
          <w:rFonts w:ascii="黑体" w:hAnsi="黑体" w:eastAsia="黑体" w:cs="Times New Roman"/>
          <w:sz w:val="24"/>
          <w:szCs w:val="24"/>
        </w:rPr>
      </w:pPr>
      <w:r>
        <w:rPr>
          <w:rFonts w:ascii="黑体" w:hAnsi="黑体" w:eastAsia="黑体" w:cs="Times New Roman"/>
          <w:sz w:val="24"/>
          <w:szCs w:val="24"/>
        </w:rPr>
        <w:t>5</w:t>
      </w:r>
      <w:r>
        <w:rPr>
          <w:rFonts w:hint="eastAsia" w:ascii="黑体" w:hAnsi="黑体" w:eastAsia="黑体" w:cs="Times New Roman"/>
          <w:sz w:val="24"/>
          <w:szCs w:val="24"/>
        </w:rPr>
        <w:t>、主要试验（或验证）结果的</w:t>
      </w:r>
      <w:r>
        <w:rPr>
          <w:rFonts w:ascii="黑体" w:hAnsi="黑体" w:eastAsia="黑体" w:cs="Times New Roman"/>
          <w:sz w:val="24"/>
          <w:szCs w:val="24"/>
        </w:rPr>
        <w:t>分析、综述报告、技术经济论证，预期的经济效果</w:t>
      </w:r>
      <w:r>
        <w:rPr>
          <w:rFonts w:hint="eastAsia" w:ascii="黑体" w:hAnsi="黑体" w:eastAsia="黑体" w:cs="Times New Roman"/>
          <w:sz w:val="24"/>
          <w:szCs w:val="24"/>
        </w:rPr>
        <w:t>等</w:t>
      </w:r>
    </w:p>
    <w:p>
      <w:pPr>
        <w:spacing w:before="156" w:beforeLines="50" w:after="156" w:afterLines="50" w:line="440" w:lineRule="exact"/>
        <w:ind w:firstLine="480" w:firstLineChars="200"/>
        <w:outlineLvl w:val="0"/>
        <w:rPr>
          <w:rFonts w:asciiTheme="minorEastAsia" w:hAnsiTheme="minorEastAsia"/>
          <w:sz w:val="24"/>
          <w:szCs w:val="24"/>
        </w:rPr>
      </w:pPr>
      <w:r>
        <w:rPr>
          <w:rFonts w:cs="Times New Roman" w:asciiTheme="minorEastAsia" w:hAnsiTheme="minorEastAsia"/>
          <w:sz w:val="24"/>
          <w:szCs w:val="24"/>
        </w:rPr>
        <w:t>1</w:t>
      </w:r>
      <w:r>
        <w:rPr>
          <w:rFonts w:hint="eastAsia" w:cs="Times New Roman" w:asciiTheme="minorEastAsia" w:hAnsiTheme="minorEastAsia"/>
          <w:sz w:val="24"/>
          <w:szCs w:val="24"/>
        </w:rPr>
        <w:t>）</w:t>
      </w:r>
      <w:r>
        <w:rPr>
          <w:rFonts w:hint="eastAsia" w:asciiTheme="minorEastAsia" w:hAnsiTheme="minorEastAsia"/>
          <w:sz w:val="24"/>
          <w:szCs w:val="24"/>
        </w:rPr>
        <w:t>验证方法</w:t>
      </w:r>
    </w:p>
    <w:p>
      <w:pPr>
        <w:spacing w:before="156" w:beforeLines="50" w:after="156" w:afterLines="50" w:line="440" w:lineRule="exact"/>
        <w:ind w:firstLine="480" w:firstLineChars="200"/>
        <w:outlineLvl w:val="0"/>
        <w:rPr>
          <w:rFonts w:asciiTheme="minorEastAsia" w:hAnsiTheme="minorEastAsia"/>
          <w:sz w:val="24"/>
          <w:szCs w:val="24"/>
        </w:rPr>
      </w:pPr>
      <w:r>
        <w:rPr>
          <w:rFonts w:hint="eastAsia" w:asciiTheme="minorEastAsia" w:hAnsiTheme="minorEastAsia"/>
          <w:sz w:val="24"/>
          <w:szCs w:val="24"/>
        </w:rPr>
        <w:t>采用实验室和生产车间验证的方法。</w:t>
      </w:r>
    </w:p>
    <w:p>
      <w:pPr>
        <w:spacing w:before="156" w:beforeLines="50" w:after="156" w:afterLines="50" w:line="440" w:lineRule="exact"/>
        <w:ind w:firstLine="480" w:firstLineChars="200"/>
        <w:outlineLvl w:val="0"/>
        <w:rPr>
          <w:rFonts w:asciiTheme="minorEastAsia" w:hAnsiTheme="minorEastAsia"/>
          <w:sz w:val="24"/>
          <w:szCs w:val="24"/>
        </w:rPr>
      </w:pPr>
      <w:bookmarkStart w:id="1" w:name="_Toc4646"/>
      <w:r>
        <w:rPr>
          <w:rFonts w:cs="Times New Roman" w:asciiTheme="minorEastAsia" w:hAnsiTheme="minorEastAsia"/>
          <w:sz w:val="24"/>
          <w:szCs w:val="24"/>
        </w:rPr>
        <w:t>2</w:t>
      </w:r>
      <w:r>
        <w:rPr>
          <w:rFonts w:hint="eastAsia" w:asciiTheme="minorEastAsia" w:hAnsiTheme="minorEastAsia"/>
          <w:sz w:val="24"/>
          <w:szCs w:val="24"/>
        </w:rPr>
        <w:t>）验证情况分析</w:t>
      </w:r>
      <w:bookmarkEnd w:id="1"/>
    </w:p>
    <w:p>
      <w:pPr>
        <w:spacing w:line="440" w:lineRule="exact"/>
        <w:ind w:firstLine="480" w:firstLineChars="200"/>
        <w:outlineLvl w:val="0"/>
        <w:rPr>
          <w:rFonts w:ascii="宋体" w:hAnsi="宋体" w:eastAsia="宋体" w:cs="Times New Roman"/>
          <w:color w:val="000000"/>
          <w:sz w:val="24"/>
        </w:rPr>
      </w:pPr>
      <w:r>
        <w:rPr>
          <w:rFonts w:hint="eastAsia" w:ascii="宋体" w:hAnsi="宋体" w:eastAsia="宋体" w:cs="Times New Roman"/>
          <w:color w:val="000000"/>
          <w:sz w:val="24"/>
        </w:rPr>
        <w:t>1、实验室试验论证阶段。</w:t>
      </w:r>
    </w:p>
    <w:p>
      <w:pPr>
        <w:spacing w:line="440" w:lineRule="exac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验证地点：清华大学</w:t>
      </w:r>
    </w:p>
    <w:p>
      <w:pPr>
        <w:spacing w:line="440" w:lineRule="exac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验证时间：</w:t>
      </w:r>
      <w:r>
        <w:rPr>
          <w:rFonts w:ascii="宋体" w:hAnsi="宋体" w:eastAsia="宋体" w:cs="宋体"/>
          <w:color w:val="000000"/>
          <w:kern w:val="0"/>
          <w:sz w:val="24"/>
        </w:rPr>
        <w:t>201</w:t>
      </w:r>
      <w:r>
        <w:rPr>
          <w:rFonts w:cs="宋体" w:asciiTheme="minorEastAsia" w:hAnsiTheme="minorEastAsia"/>
          <w:color w:val="000000"/>
          <w:kern w:val="0"/>
          <w:sz w:val="24"/>
        </w:rPr>
        <w:t>6</w:t>
      </w:r>
      <w:r>
        <w:rPr>
          <w:rFonts w:hint="eastAsia" w:ascii="宋体" w:hAnsi="宋体" w:eastAsia="宋体" w:cs="宋体"/>
          <w:color w:val="000000"/>
          <w:kern w:val="0"/>
          <w:sz w:val="24"/>
        </w:rPr>
        <w:t>年</w:t>
      </w:r>
      <w:r>
        <w:rPr>
          <w:rFonts w:cs="宋体" w:asciiTheme="minorEastAsia" w:hAnsiTheme="minorEastAsia"/>
          <w:color w:val="000000"/>
          <w:kern w:val="0"/>
          <w:sz w:val="24"/>
        </w:rPr>
        <w:t>10</w:t>
      </w:r>
      <w:r>
        <w:rPr>
          <w:rFonts w:hint="eastAsia" w:ascii="宋体" w:hAnsi="宋体" w:eastAsia="宋体" w:cs="宋体"/>
          <w:color w:val="000000"/>
          <w:kern w:val="0"/>
          <w:sz w:val="24"/>
        </w:rPr>
        <w:t>月至2019年</w:t>
      </w:r>
      <w:r>
        <w:rPr>
          <w:rFonts w:hint="eastAsia" w:cs="宋体" w:asciiTheme="minorEastAsia" w:hAnsiTheme="minorEastAsia"/>
          <w:color w:val="000000"/>
          <w:kern w:val="0"/>
          <w:sz w:val="24"/>
        </w:rPr>
        <w:t>12</w:t>
      </w:r>
      <w:r>
        <w:rPr>
          <w:rFonts w:ascii="宋体" w:hAnsi="宋体" w:eastAsia="宋体" w:cs="宋体"/>
          <w:color w:val="000000"/>
          <w:kern w:val="0"/>
          <w:sz w:val="24"/>
        </w:rPr>
        <w:t>月</w:t>
      </w:r>
    </w:p>
    <w:p>
      <w:pPr>
        <w:spacing w:line="440" w:lineRule="exac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持续时间：</w:t>
      </w:r>
      <w:r>
        <w:rPr>
          <w:rFonts w:cs="宋体" w:asciiTheme="minorEastAsia" w:hAnsiTheme="minorEastAsia"/>
          <w:color w:val="000000"/>
          <w:kern w:val="0"/>
          <w:sz w:val="24"/>
        </w:rPr>
        <w:t>39</w:t>
      </w:r>
      <w:r>
        <w:rPr>
          <w:rFonts w:hint="eastAsia" w:ascii="宋体" w:hAnsi="宋体" w:eastAsia="宋体" w:cs="宋体"/>
          <w:color w:val="000000"/>
          <w:kern w:val="0"/>
          <w:sz w:val="24"/>
        </w:rPr>
        <w:t>个月</w:t>
      </w:r>
    </w:p>
    <w:p>
      <w:pPr>
        <w:spacing w:line="440" w:lineRule="exact"/>
        <w:ind w:firstLine="480" w:firstLineChars="200"/>
        <w:outlineLvl w:val="0"/>
        <w:rPr>
          <w:rFonts w:asciiTheme="minorEastAsia" w:hAnsiTheme="minorEastAsia"/>
          <w:sz w:val="24"/>
          <w:szCs w:val="24"/>
        </w:rPr>
      </w:pPr>
      <w:r>
        <w:rPr>
          <w:rFonts w:hint="eastAsia" w:asciiTheme="minorEastAsia" w:hAnsiTheme="minorEastAsia"/>
          <w:sz w:val="24"/>
          <w:szCs w:val="24"/>
        </w:rPr>
        <w:t>试验阶段，针对铝合金铸造试件</w:t>
      </w:r>
      <w:r>
        <w:rPr>
          <w:rFonts w:cs="Times New Roman" w:asciiTheme="minorEastAsia" w:hAnsiTheme="minorEastAsia"/>
          <w:szCs w:val="21"/>
        </w:rPr>
        <w:t>应力框（如图1）</w:t>
      </w:r>
      <w:r>
        <w:rPr>
          <w:rFonts w:hint="eastAsia" w:asciiTheme="minorEastAsia" w:hAnsiTheme="minorEastAsia"/>
          <w:sz w:val="24"/>
          <w:szCs w:val="24"/>
        </w:rPr>
        <w:t>，设计了镂空砂型，并应用于铸件的浇注，获得了良好质量的铸件，并且避免了实现了铸件冷却速度的提高，力学性能的提高，以及铸件冷却过程的整体和局部的控制冷却。</w:t>
      </w:r>
    </w:p>
    <w:p>
      <w:pPr>
        <w:spacing w:line="276"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根据铸造工艺，利用软件生成了该铸造试件的各种镂空结构，采用ExOne-Smax打印出了</w:t>
      </w:r>
      <w:r>
        <w:rPr>
          <w:rFonts w:hint="eastAsia" w:cs="Times New Roman" w:asciiTheme="minorEastAsia" w:hAnsiTheme="minorEastAsia"/>
          <w:sz w:val="24"/>
          <w:szCs w:val="24"/>
        </w:rPr>
        <w:t>镂空砂型，如图</w:t>
      </w:r>
      <w:r>
        <w:rPr>
          <w:rFonts w:cs="Times New Roman" w:asciiTheme="minorEastAsia" w:hAnsiTheme="minorEastAsia"/>
          <w:sz w:val="24"/>
          <w:szCs w:val="24"/>
        </w:rPr>
        <w:t>2</w:t>
      </w:r>
      <w:r>
        <w:rPr>
          <w:rFonts w:hint="eastAsia" w:cs="Times New Roman" w:asciiTheme="minorEastAsia" w:hAnsiTheme="minorEastAsia"/>
          <w:sz w:val="24"/>
          <w:szCs w:val="24"/>
        </w:rPr>
        <w:t>所示。3D 打印中采用呋喃树脂粘结剂，加入量为1.6-1.8</w:t>
      </w:r>
      <w:r>
        <w:rPr>
          <w:rFonts w:cs="Times New Roman" w:asciiTheme="minorEastAsia" w:hAnsiTheme="minorEastAsia"/>
          <w:sz w:val="24"/>
          <w:szCs w:val="24"/>
        </w:rPr>
        <w:t>%，固化剂为</w:t>
      </w:r>
      <w:r>
        <w:rPr>
          <w:rFonts w:hint="eastAsia" w:cs="Times New Roman" w:asciiTheme="minorEastAsia" w:hAnsiTheme="minorEastAsia"/>
          <w:sz w:val="24"/>
          <w:szCs w:val="24"/>
        </w:rPr>
        <w:t xml:space="preserve"> 0.2</w:t>
      </w:r>
      <w:r>
        <w:rPr>
          <w:rFonts w:cs="Times New Roman" w:asciiTheme="minorEastAsia" w:hAnsiTheme="minorEastAsia"/>
          <w:sz w:val="24"/>
          <w:szCs w:val="24"/>
        </w:rPr>
        <w:t>%，室温强度大于</w:t>
      </w:r>
      <w:r>
        <w:rPr>
          <w:rFonts w:hint="eastAsia" w:cs="Times New Roman" w:asciiTheme="minorEastAsia" w:hAnsiTheme="minorEastAsia"/>
          <w:sz w:val="24"/>
          <w:szCs w:val="24"/>
        </w:rPr>
        <w:t>2MPa</w:t>
      </w:r>
      <w:r>
        <w:rPr>
          <w:rFonts w:cs="Times New Roman" w:asciiTheme="minorEastAsia" w:hAnsiTheme="minorEastAsia"/>
          <w:sz w:val="24"/>
          <w:szCs w:val="24"/>
        </w:rPr>
        <w:t>。</w:t>
      </w:r>
      <w:r>
        <w:rPr>
          <w:rFonts w:hint="eastAsia" w:cs="Times New Roman" w:asciiTheme="minorEastAsia" w:hAnsiTheme="minorEastAsia"/>
          <w:sz w:val="24"/>
          <w:szCs w:val="24"/>
        </w:rPr>
        <w:t>这些砂型没有分型面，镂空砂型为一个完整的整体。为了便于铸件型腔的清砂，在难以清砂的部位设置了清砂工艺孔进行清砂，同时采用内窥镜进行内部清砂情况的检查。将熔融的A</w:t>
      </w:r>
      <w:r>
        <w:rPr>
          <w:rFonts w:cs="Times New Roman" w:asciiTheme="minorEastAsia" w:hAnsiTheme="minorEastAsia"/>
          <w:sz w:val="24"/>
          <w:szCs w:val="24"/>
        </w:rPr>
        <w:t>356铝合金浇入砂型，得到了具有良好外表面的铸件，如图3</w:t>
      </w:r>
      <w:r>
        <w:rPr>
          <w:rFonts w:hint="eastAsia" w:cs="Times New Roman" w:asciiTheme="minorEastAsia" w:hAnsiTheme="minorEastAsia"/>
          <w:sz w:val="24"/>
          <w:szCs w:val="24"/>
        </w:rPr>
        <w:t>所示</w:t>
      </w:r>
      <w:r>
        <w:rPr>
          <w:rFonts w:cs="Times New Roman" w:asciiTheme="minorEastAsia" w:hAnsiTheme="minorEastAsia"/>
          <w:sz w:val="24"/>
          <w:szCs w:val="24"/>
        </w:rPr>
        <w:t xml:space="preserve">。 </w:t>
      </w:r>
    </w:p>
    <w:p>
      <w:pPr>
        <w:ind w:right="42" w:rightChars="20"/>
        <w:jc w:val="center"/>
        <w:rPr>
          <w:rFonts w:asciiTheme="minorEastAsia" w:hAnsiTheme="minorEastAsia"/>
          <w:sz w:val="24"/>
          <w:szCs w:val="24"/>
        </w:rPr>
      </w:pPr>
      <w:r>
        <w:rPr>
          <w:rFonts w:asciiTheme="minorEastAsia" w:hAnsiTheme="minorEastAsia"/>
          <w:sz w:val="24"/>
          <w:szCs w:val="24"/>
        </w:rPr>
        <w:drawing>
          <wp:inline distT="0" distB="0" distL="0" distR="0">
            <wp:extent cx="1998980" cy="982980"/>
            <wp:effectExtent l="0" t="0" r="12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
                    <a:srcRect r="3480" b="-8849"/>
                    <a:stretch>
                      <a:fillRect/>
                    </a:stretch>
                  </pic:blipFill>
                  <pic:spPr>
                    <a:xfrm>
                      <a:off x="0" y="0"/>
                      <a:ext cx="2108099" cy="1036423"/>
                    </a:xfrm>
                    <a:prstGeom prst="rect">
                      <a:avLst/>
                    </a:prstGeom>
                    <a:ln>
                      <a:noFill/>
                    </a:ln>
                  </pic:spPr>
                </pic:pic>
              </a:graphicData>
            </a:graphic>
          </wp:inline>
        </w:drawing>
      </w:r>
    </w:p>
    <w:p>
      <w:pPr>
        <w:ind w:right="42" w:rightChars="20"/>
        <w:jc w:val="center"/>
        <w:rPr>
          <w:rFonts w:asciiTheme="minorEastAsia" w:hAnsiTheme="minorEastAsia"/>
          <w:sz w:val="24"/>
          <w:szCs w:val="24"/>
        </w:rPr>
      </w:pPr>
      <w:r>
        <w:rPr>
          <w:rFonts w:asciiTheme="minorEastAsia" w:hAnsiTheme="minorEastAsia"/>
          <w:sz w:val="24"/>
          <w:szCs w:val="24"/>
        </w:rPr>
        <w:drawing>
          <wp:inline distT="0" distB="0" distL="0" distR="0">
            <wp:extent cx="1971675" cy="143700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
                    <a:srcRect/>
                    <a:stretch>
                      <a:fillRect/>
                    </a:stretch>
                  </pic:blipFill>
                  <pic:spPr>
                    <a:xfrm>
                      <a:off x="0" y="0"/>
                      <a:ext cx="2022202" cy="1473984"/>
                    </a:xfrm>
                    <a:prstGeom prst="rect">
                      <a:avLst/>
                    </a:prstGeom>
                  </pic:spPr>
                </pic:pic>
              </a:graphicData>
            </a:graphic>
          </wp:inline>
        </w:drawing>
      </w:r>
    </w:p>
    <w:p>
      <w:pPr>
        <w:spacing w:line="360" w:lineRule="auto"/>
        <w:jc w:val="center"/>
        <w:rPr>
          <w:rFonts w:cs="Times New Roman" w:asciiTheme="minorEastAsia" w:hAnsiTheme="minorEastAsia"/>
          <w:sz w:val="24"/>
          <w:szCs w:val="24"/>
        </w:rPr>
      </w:pPr>
      <w:r>
        <w:rPr>
          <w:rFonts w:cs="Times New Roman" w:asciiTheme="minorEastAsia" w:hAnsiTheme="minorEastAsia"/>
          <w:sz w:val="24"/>
          <w:szCs w:val="24"/>
        </w:rPr>
        <w:t>图1</w:t>
      </w:r>
      <w:r>
        <w:rPr>
          <w:rFonts w:hint="eastAsia" w:cs="Times New Roman" w:asciiTheme="minorEastAsia" w:hAnsiTheme="minorEastAsia"/>
          <w:sz w:val="24"/>
          <w:szCs w:val="24"/>
        </w:rPr>
        <w:t xml:space="preserve"> 应力框的形状尺寸</w:t>
      </w:r>
    </w:p>
    <w:p>
      <w:pPr>
        <w:pStyle w:val="8"/>
        <w:spacing w:before="0" w:beforeAutospacing="0" w:after="0" w:afterAutospacing="0" w:line="480" w:lineRule="auto"/>
        <w:jc w:val="center"/>
        <w:rPr>
          <w:rFonts w:cs="Times New Roman" w:asciiTheme="minorEastAsia" w:hAnsiTheme="minorEastAsia" w:eastAsiaTheme="minorEastAsia"/>
        </w:rPr>
      </w:pPr>
      <w:r>
        <w:rPr>
          <w:rFonts w:cs="Times New Roman" w:asciiTheme="minorEastAsia" w:hAnsiTheme="minorEastAsia" w:eastAsiaTheme="minorEastAsia"/>
        </w:rPr>
        <w:drawing>
          <wp:inline distT="0" distB="0" distL="0" distR="0">
            <wp:extent cx="4249420" cy="15849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249420" cy="1584960"/>
                    </a:xfrm>
                    <a:prstGeom prst="rect">
                      <a:avLst/>
                    </a:prstGeom>
                    <a:noFill/>
                  </pic:spPr>
                </pic:pic>
              </a:graphicData>
            </a:graphic>
          </wp:inline>
        </w:drawing>
      </w:r>
    </w:p>
    <w:p>
      <w:pPr>
        <w:pStyle w:val="8"/>
        <w:spacing w:before="0" w:beforeAutospacing="0" w:after="0" w:afterAutospacing="0" w:line="276" w:lineRule="auto"/>
        <w:jc w:val="center"/>
        <w:rPr>
          <w:rFonts w:cs="Times New Roman" w:asciiTheme="minorEastAsia" w:hAnsiTheme="minorEastAsia" w:eastAsiaTheme="minorEastAsia"/>
        </w:rPr>
      </w:pPr>
      <w:r>
        <w:rPr>
          <w:rFonts w:hint="eastAsia" w:cs="Times New Roman" w:asciiTheme="minorEastAsia" w:hAnsiTheme="minorEastAsia" w:eastAsiaTheme="minorEastAsia"/>
        </w:rPr>
        <w:t xml:space="preserve">(a) </w:t>
      </w:r>
      <w:r>
        <w:rPr>
          <w:rFonts w:hint="eastAsia" w:cs="微软雅黑" w:asciiTheme="minorEastAsia" w:hAnsiTheme="minorEastAsia" w:eastAsiaTheme="minorEastAsia"/>
        </w:rPr>
        <w:t>镂空砂型1</w:t>
      </w:r>
      <w:r>
        <w:rPr>
          <w:rFonts w:hint="eastAsia" w:cs="Times New Roman" w:asciiTheme="minorEastAsia" w:hAnsiTheme="minorEastAsia" w:eastAsiaTheme="minorEastAsia"/>
        </w:rPr>
        <w:t xml:space="preserve"> </w:t>
      </w:r>
      <w:r>
        <w:rPr>
          <w:rFonts w:cs="微软雅黑" w:asciiTheme="minorEastAsia" w:hAnsiTheme="minorEastAsia" w:eastAsiaTheme="minorEastAsia"/>
        </w:rPr>
        <w:t>（六面体桁架型）</w:t>
      </w:r>
      <w:r>
        <w:rPr>
          <w:rFonts w:hint="eastAsia" w:cs="Times New Roman" w:asciiTheme="minorEastAsia" w:hAnsiTheme="minorEastAsia" w:eastAsiaTheme="minorEastAsia"/>
        </w:rPr>
        <w:t xml:space="preserve">              (b) </w:t>
      </w:r>
      <w:r>
        <w:rPr>
          <w:rFonts w:hint="eastAsia" w:cs="微软雅黑" w:asciiTheme="minorEastAsia" w:hAnsiTheme="minorEastAsia" w:eastAsiaTheme="minorEastAsia"/>
        </w:rPr>
        <w:t>镂空砂型</w:t>
      </w:r>
      <w:r>
        <w:rPr>
          <w:rFonts w:cs="微软雅黑" w:asciiTheme="minorEastAsia" w:hAnsiTheme="minorEastAsia" w:eastAsiaTheme="minorEastAsia"/>
        </w:rPr>
        <w:t>2（四面体桁架型）</w:t>
      </w:r>
    </w:p>
    <w:p>
      <w:pPr>
        <w:pStyle w:val="8"/>
        <w:spacing w:before="0" w:beforeAutospacing="0" w:after="0" w:afterAutospacing="0" w:line="480" w:lineRule="auto"/>
        <w:jc w:val="center"/>
        <w:rPr>
          <w:rFonts w:cs="Times New Roman" w:asciiTheme="minorEastAsia" w:hAnsiTheme="minorEastAsia" w:eastAsiaTheme="minorEastAsia"/>
        </w:rPr>
      </w:pPr>
      <w:r>
        <w:rPr>
          <w:rFonts w:cs="Times New Roman" w:asciiTheme="minorEastAsia" w:hAnsiTheme="minorEastAsia" w:eastAsiaTheme="minorEastAsia"/>
        </w:rPr>
        <w:drawing>
          <wp:inline distT="0" distB="0" distL="0" distR="0">
            <wp:extent cx="2121535" cy="158496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121535" cy="1584960"/>
                    </a:xfrm>
                    <a:prstGeom prst="rect">
                      <a:avLst/>
                    </a:prstGeom>
                    <a:noFill/>
                  </pic:spPr>
                </pic:pic>
              </a:graphicData>
            </a:graphic>
          </wp:inline>
        </w:drawing>
      </w:r>
      <w:r>
        <w:rPr>
          <w:rFonts w:cs="Times New Roman" w:asciiTheme="minorEastAsia" w:hAnsiTheme="minorEastAsia" w:eastAsiaTheme="minorEastAsia"/>
        </w:rPr>
        <w:drawing>
          <wp:inline distT="0" distB="0" distL="0" distR="0">
            <wp:extent cx="2182495" cy="1554480"/>
            <wp:effectExtent l="0" t="0" r="825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82495" cy="1554480"/>
                    </a:xfrm>
                    <a:prstGeom prst="rect">
                      <a:avLst/>
                    </a:prstGeom>
                    <a:noFill/>
                  </pic:spPr>
                </pic:pic>
              </a:graphicData>
            </a:graphic>
          </wp:inline>
        </w:drawing>
      </w:r>
    </w:p>
    <w:p>
      <w:pPr>
        <w:widowControl/>
        <w:spacing w:line="276" w:lineRule="auto"/>
        <w:jc w:val="center"/>
        <w:rPr>
          <w:rFonts w:cs="Times New Roman" w:asciiTheme="minorEastAsia" w:hAnsiTheme="minorEastAsia"/>
          <w:kern w:val="0"/>
          <w:sz w:val="24"/>
          <w:szCs w:val="24"/>
        </w:rPr>
      </w:pPr>
      <w:r>
        <w:rPr>
          <w:rFonts w:hint="eastAsia" w:cs="Times New Roman" w:asciiTheme="minorEastAsia" w:hAnsiTheme="minorEastAsia"/>
          <w:kern w:val="0"/>
          <w:sz w:val="24"/>
          <w:szCs w:val="24"/>
        </w:rPr>
        <w:t xml:space="preserve">(e) </w:t>
      </w:r>
      <w:r>
        <w:rPr>
          <w:rFonts w:hint="eastAsia" w:cs="微软雅黑" w:asciiTheme="minorEastAsia" w:hAnsiTheme="minorEastAsia"/>
          <w:sz w:val="24"/>
          <w:szCs w:val="24"/>
        </w:rPr>
        <w:t>镂空</w:t>
      </w:r>
      <w:r>
        <w:rPr>
          <w:rFonts w:hint="eastAsia" w:cs="微软雅黑" w:asciiTheme="minorEastAsia" w:hAnsiTheme="minorEastAsia"/>
        </w:rPr>
        <w:t>砂</w:t>
      </w:r>
      <w:r>
        <w:rPr>
          <w:rFonts w:hint="eastAsia" w:cs="微软雅黑" w:asciiTheme="minorEastAsia" w:hAnsiTheme="minorEastAsia"/>
          <w:sz w:val="24"/>
          <w:szCs w:val="24"/>
        </w:rPr>
        <w:t>型</w:t>
      </w:r>
      <w:r>
        <w:rPr>
          <w:rFonts w:cs="微软雅黑" w:asciiTheme="minorEastAsia" w:hAnsiTheme="minorEastAsia"/>
          <w:sz w:val="24"/>
          <w:szCs w:val="24"/>
        </w:rPr>
        <w:t>3 （表面加强筋型）</w:t>
      </w:r>
      <w:r>
        <w:rPr>
          <w:rFonts w:hint="eastAsia" w:cs="Times New Roman" w:asciiTheme="minorEastAsia" w:hAnsiTheme="minorEastAsia"/>
          <w:kern w:val="0"/>
          <w:sz w:val="24"/>
          <w:szCs w:val="24"/>
        </w:rPr>
        <w:t xml:space="preserve">      </w:t>
      </w:r>
      <w:r>
        <w:rPr>
          <w:rFonts w:cs="Times New Roman" w:asciiTheme="minorEastAsia" w:hAnsiTheme="minorEastAsia"/>
          <w:kern w:val="0"/>
          <w:sz w:val="24"/>
          <w:szCs w:val="24"/>
        </w:rPr>
        <w:t>(</w:t>
      </w:r>
      <w:r>
        <w:rPr>
          <w:rFonts w:hint="eastAsia" w:cs="Times New Roman" w:asciiTheme="minorEastAsia" w:hAnsiTheme="minorEastAsia"/>
          <w:kern w:val="0"/>
          <w:sz w:val="24"/>
          <w:szCs w:val="24"/>
        </w:rPr>
        <w:t>f</w:t>
      </w:r>
      <w:r>
        <w:rPr>
          <w:rFonts w:cs="Times New Roman" w:asciiTheme="minorEastAsia" w:hAnsiTheme="minorEastAsia"/>
          <w:kern w:val="0"/>
          <w:sz w:val="24"/>
          <w:szCs w:val="24"/>
        </w:rPr>
        <w:t xml:space="preserve">) </w:t>
      </w:r>
      <w:r>
        <w:rPr>
          <w:rFonts w:hint="eastAsia" w:cs="微软雅黑" w:asciiTheme="minorEastAsia" w:hAnsiTheme="minorEastAsia"/>
          <w:sz w:val="24"/>
          <w:szCs w:val="24"/>
        </w:rPr>
        <w:t>镂空</w:t>
      </w:r>
      <w:r>
        <w:rPr>
          <w:rFonts w:hint="eastAsia" w:cs="微软雅黑" w:asciiTheme="minorEastAsia" w:hAnsiTheme="minorEastAsia"/>
        </w:rPr>
        <w:t>砂</w:t>
      </w:r>
      <w:r>
        <w:rPr>
          <w:rFonts w:hint="eastAsia" w:cs="微软雅黑" w:asciiTheme="minorEastAsia" w:hAnsiTheme="minorEastAsia"/>
          <w:sz w:val="24"/>
          <w:szCs w:val="24"/>
        </w:rPr>
        <w:t>型</w:t>
      </w:r>
      <w:r>
        <w:rPr>
          <w:rFonts w:cs="微软雅黑" w:asciiTheme="minorEastAsia" w:hAnsiTheme="minorEastAsia"/>
          <w:sz w:val="24"/>
          <w:szCs w:val="24"/>
        </w:rPr>
        <w:t>4 （冒口处中空保温层）</w:t>
      </w:r>
    </w:p>
    <w:p>
      <w:pPr>
        <w:pStyle w:val="8"/>
        <w:spacing w:before="0" w:beforeAutospacing="0" w:after="0" w:afterAutospacing="0" w:line="276" w:lineRule="auto"/>
        <w:jc w:val="center"/>
        <w:rPr>
          <w:rFonts w:cs="Times New Roman" w:asciiTheme="minorEastAsia" w:hAnsiTheme="minorEastAsia" w:eastAsiaTheme="minorEastAsia"/>
        </w:rPr>
      </w:pPr>
      <w:r>
        <w:rPr>
          <w:rFonts w:hint="eastAsia" w:cs="微软雅黑" w:asciiTheme="minorEastAsia" w:hAnsiTheme="minorEastAsia" w:eastAsiaTheme="minorEastAsia"/>
        </w:rPr>
        <w:t>图</w:t>
      </w:r>
      <w:r>
        <w:rPr>
          <w:rFonts w:cs="微软雅黑" w:asciiTheme="minorEastAsia" w:hAnsiTheme="minorEastAsia" w:eastAsiaTheme="minorEastAsia"/>
        </w:rPr>
        <w:t>2</w:t>
      </w:r>
      <w:r>
        <w:rPr>
          <w:rFonts w:hint="eastAsia" w:cs="Times New Roman" w:asciiTheme="minorEastAsia" w:hAnsiTheme="minorEastAsia" w:eastAsiaTheme="minorEastAsia"/>
        </w:rPr>
        <w:t xml:space="preserve"> </w:t>
      </w:r>
      <w:r>
        <w:rPr>
          <w:rFonts w:hint="eastAsia" w:cs="微软雅黑" w:asciiTheme="minorEastAsia" w:hAnsiTheme="minorEastAsia" w:eastAsiaTheme="minorEastAsia"/>
        </w:rPr>
        <w:t>应力框的典型镂空砂型</w:t>
      </w:r>
    </w:p>
    <w:tbl>
      <w:tblPr>
        <w:tblStyle w:val="10"/>
        <w:tblW w:w="919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52"/>
        <w:gridCol w:w="55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52" w:type="dxa"/>
          </w:tcPr>
          <w:p>
            <w:pPr>
              <w:spacing w:line="276" w:lineRule="auto"/>
              <w:ind w:firstLine="480" w:firstLineChars="200"/>
              <w:jc w:val="center"/>
              <w:rPr>
                <w:rFonts w:cs="Times New Roman" w:asciiTheme="minorEastAsia" w:hAnsiTheme="minorEastAsia"/>
                <w:sz w:val="24"/>
                <w:szCs w:val="24"/>
              </w:rPr>
            </w:pPr>
            <w:r>
              <w:rPr>
                <w:rFonts w:asciiTheme="minorEastAsia" w:hAnsiTheme="minorEastAsia"/>
                <w:sz w:val="24"/>
                <w:szCs w:val="24"/>
              </w:rPr>
              <w:drawing>
                <wp:inline distT="0" distB="0" distL="0" distR="0">
                  <wp:extent cx="1933575" cy="11868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cstate="print">
                            <a:extLst>
                              <a:ext uri="{28A0092B-C50C-407E-A947-70E740481C1C}">
                                <a14:useLocalDpi xmlns:a14="http://schemas.microsoft.com/office/drawing/2010/main" val="0"/>
                              </a:ext>
                            </a:extLst>
                          </a:blip>
                          <a:srcRect t="12572"/>
                          <a:stretch>
                            <a:fillRect/>
                          </a:stretch>
                        </pic:blipFill>
                        <pic:spPr>
                          <a:xfrm>
                            <a:off x="0" y="0"/>
                            <a:ext cx="1952259" cy="1198487"/>
                          </a:xfrm>
                          <a:prstGeom prst="rect">
                            <a:avLst/>
                          </a:prstGeom>
                          <a:ln>
                            <a:noFill/>
                          </a:ln>
                        </pic:spPr>
                      </pic:pic>
                    </a:graphicData>
                  </a:graphic>
                </wp:inline>
              </w:drawing>
            </w:r>
          </w:p>
          <w:p>
            <w:pPr>
              <w:spacing w:line="276" w:lineRule="auto"/>
              <w:ind w:firstLine="480" w:firstLineChars="200"/>
              <w:jc w:val="center"/>
              <w:rPr>
                <w:rFonts w:cs="Times New Roman" w:asciiTheme="minorEastAsia" w:hAnsiTheme="minorEastAsia"/>
                <w:sz w:val="24"/>
                <w:szCs w:val="24"/>
              </w:rPr>
            </w:pPr>
          </w:p>
        </w:tc>
        <w:tc>
          <w:tcPr>
            <w:tcW w:w="5539" w:type="dxa"/>
          </w:tcPr>
          <w:p>
            <w:pPr>
              <w:pStyle w:val="8"/>
              <w:spacing w:before="0" w:beforeAutospacing="0" w:after="0" w:afterAutospacing="0" w:line="480" w:lineRule="auto"/>
              <w:jc w:val="center"/>
              <w:rPr>
                <w:rFonts w:cs="Times New Roman" w:asciiTheme="minorEastAsia" w:hAnsiTheme="minorEastAsia" w:eastAsiaTheme="minorEastAsia"/>
                <w:b/>
              </w:rPr>
            </w:pPr>
            <w:r>
              <w:rPr>
                <w:rFonts w:cs="Times New Roman" w:asciiTheme="minorEastAsia" w:hAnsiTheme="minorEastAsia"/>
              </w:rPr>
              <w:drawing>
                <wp:inline distT="0" distB="0" distL="0" distR="0">
                  <wp:extent cx="2152650" cy="1361440"/>
                  <wp:effectExtent l="0" t="0" r="0" b="0"/>
                  <wp:docPr id="21" name="图片 8" descr="C:\Users\sghl\AppData\Roaming\Tencent\Users\415234462\QQ\WinTemp\RichOle\H]3{8[Q2X5@IZNIW(9H2OUL.png"/>
                  <wp:cNvGraphicFramePr/>
                  <a:graphic xmlns:a="http://schemas.openxmlformats.org/drawingml/2006/main">
                    <a:graphicData uri="http://schemas.openxmlformats.org/drawingml/2006/picture">
                      <pic:pic xmlns:pic="http://schemas.openxmlformats.org/drawingml/2006/picture">
                        <pic:nvPicPr>
                          <pic:cNvPr id="21" name="图片 8" descr="C:\Users\sghl\AppData\Roaming\Tencent\Users\415234462\QQ\WinTemp\RichOle\H]3{8[Q2X5@IZNIW(9H2OUL.png"/>
                          <pic:cNvPicPr/>
                        </pic:nvPicPr>
                        <pic:blipFill>
                          <a:blip r:embed="rId11" cstate="print">
                            <a:extLst>
                              <a:ext uri="{28A0092B-C50C-407E-A947-70E740481C1C}">
                                <a14:useLocalDpi xmlns:a14="http://schemas.microsoft.com/office/drawing/2010/main" val="0"/>
                              </a:ext>
                            </a:extLst>
                          </a:blip>
                          <a:srcRect r="11506"/>
                          <a:stretch>
                            <a:fillRect/>
                          </a:stretch>
                        </pic:blipFill>
                        <pic:spPr>
                          <a:xfrm>
                            <a:off x="0" y="0"/>
                            <a:ext cx="2152650" cy="1361440"/>
                          </a:xfrm>
                          <a:prstGeom prst="rect">
                            <a:avLst/>
                          </a:prstGeom>
                          <a:noFill/>
                          <a:ln>
                            <a:noFill/>
                          </a:ln>
                        </pic:spPr>
                      </pic:pic>
                    </a:graphicData>
                  </a:graphic>
                </wp:inline>
              </w:drawing>
            </w:r>
            <w:r>
              <w:rPr>
                <w:rFonts w:cs="Times New Roman" w:asciiTheme="minorEastAsia" w:hAnsiTheme="minorEastAsia" w:eastAsiaTheme="minorEastAsia"/>
              </w:rPr>
              <w:drawing>
                <wp:inline distT="0" distB="0" distL="0" distR="0">
                  <wp:extent cx="1064895" cy="1409065"/>
                  <wp:effectExtent l="0" t="0" r="190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 cstate="print">
                            <a:extLst>
                              <a:ext uri="{28A0092B-C50C-407E-A947-70E740481C1C}">
                                <a14:useLocalDpi xmlns:a14="http://schemas.microsoft.com/office/drawing/2010/main" val="0"/>
                              </a:ext>
                            </a:extLst>
                          </a:blip>
                          <a:srcRect l="23306" r="23610"/>
                          <a:stretch>
                            <a:fillRect/>
                          </a:stretch>
                        </pic:blipFill>
                        <pic:spPr>
                          <a:xfrm>
                            <a:off x="0" y="0"/>
                            <a:ext cx="1079359" cy="1427735"/>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52" w:type="dxa"/>
          </w:tcPr>
          <w:p>
            <w:pPr>
              <w:pStyle w:val="8"/>
              <w:spacing w:before="0" w:beforeAutospacing="0" w:after="0" w:afterAutospacing="0" w:line="480" w:lineRule="auto"/>
              <w:jc w:val="center"/>
              <w:rPr>
                <w:rFonts w:cs="Times New Roman" w:asciiTheme="minorEastAsia" w:hAnsiTheme="minorEastAsia" w:eastAsiaTheme="minorEastAsia"/>
              </w:rPr>
            </w:pPr>
            <w:r>
              <w:rPr>
                <w:rFonts w:hint="eastAsia" w:cs="微软雅黑" w:asciiTheme="minorEastAsia" w:hAnsiTheme="minorEastAsia" w:eastAsiaTheme="minorEastAsia"/>
              </w:rPr>
              <w:t>图</w:t>
            </w:r>
            <w:r>
              <w:rPr>
                <w:rFonts w:cs="微软雅黑" w:asciiTheme="minorEastAsia" w:hAnsiTheme="minorEastAsia" w:eastAsiaTheme="minorEastAsia"/>
              </w:rPr>
              <w:t>3</w:t>
            </w:r>
            <w:r>
              <w:rPr>
                <w:rFonts w:hint="eastAsia" w:cs="Times New Roman" w:asciiTheme="minorEastAsia" w:hAnsiTheme="minorEastAsia" w:eastAsiaTheme="minorEastAsia"/>
              </w:rPr>
              <w:t xml:space="preserve"> </w:t>
            </w:r>
            <w:r>
              <w:rPr>
                <w:rFonts w:hint="eastAsia" w:cs="微软雅黑" w:asciiTheme="minorEastAsia" w:hAnsiTheme="minorEastAsia" w:eastAsiaTheme="minorEastAsia"/>
              </w:rPr>
              <w:t>镂空砂型的浇注</w:t>
            </w:r>
          </w:p>
        </w:tc>
        <w:tc>
          <w:tcPr>
            <w:tcW w:w="5539" w:type="dxa"/>
          </w:tcPr>
          <w:p>
            <w:pPr>
              <w:pStyle w:val="8"/>
              <w:spacing w:before="0" w:beforeAutospacing="0" w:after="0" w:afterAutospacing="0" w:line="480" w:lineRule="auto"/>
              <w:jc w:val="center"/>
              <w:rPr>
                <w:rFonts w:eastAsia="Malgun Gothic" w:cs="Times New Roman" w:asciiTheme="minorEastAsia" w:hAnsiTheme="minorEastAsia"/>
              </w:rPr>
            </w:pPr>
            <w:r>
              <w:rPr>
                <w:rFonts w:hint="eastAsia" w:cs="微软雅黑" w:asciiTheme="minorEastAsia" w:hAnsiTheme="minorEastAsia" w:eastAsiaTheme="minorEastAsia"/>
              </w:rPr>
              <w:t>图</w:t>
            </w:r>
            <w:r>
              <w:rPr>
                <w:rFonts w:cs="微软雅黑" w:asciiTheme="minorEastAsia" w:hAnsiTheme="minorEastAsia" w:eastAsiaTheme="minorEastAsia"/>
              </w:rPr>
              <w:t>4</w:t>
            </w:r>
            <w:r>
              <w:rPr>
                <w:rFonts w:cs="微软雅黑" w:asciiTheme="minorEastAsia" w:hAnsiTheme="minorEastAsia"/>
              </w:rPr>
              <w:t>应力框铸造过程中</w:t>
            </w:r>
            <w:r>
              <w:rPr>
                <w:rFonts w:hint="eastAsia" w:cs="微软雅黑" w:asciiTheme="minorEastAsia" w:hAnsiTheme="minorEastAsia" w:eastAsiaTheme="minorEastAsia"/>
              </w:rPr>
              <w:t>镂空砂型</w:t>
            </w:r>
            <w:r>
              <w:rPr>
                <w:rFonts w:hint="eastAsia" w:cs="微软雅黑" w:asciiTheme="minorEastAsia" w:hAnsiTheme="minorEastAsia"/>
              </w:rPr>
              <w:t>的温度分布</w:t>
            </w:r>
            <w:r>
              <w:rPr>
                <w:rFonts w:hint="eastAsia" w:cs="微软雅黑" w:asciiTheme="minorEastAsia" w:hAnsiTheme="minorEastAsia" w:eastAsiaTheme="minorEastAsia"/>
              </w:rPr>
              <w:t xml:space="preserve"> </w:t>
            </w:r>
            <w:r>
              <w:rPr>
                <w:rFonts w:hint="eastAsia" w:cs="Times New Roman" w:asciiTheme="minorEastAsia" w:hAnsiTheme="minorEastAsia" w:eastAsiaTheme="minorEastAsia"/>
              </w:rPr>
              <w:t>图</w:t>
            </w:r>
            <w:r>
              <w:rPr>
                <w:rFonts w:cs="Times New Roman" w:asciiTheme="minorEastAsia" w:hAnsiTheme="minorEastAsia" w:eastAsiaTheme="minorEastAsia"/>
              </w:rPr>
              <w:t>5</w:t>
            </w:r>
            <w:r>
              <w:rPr>
                <w:rFonts w:hint="eastAsia" w:cs="Times New Roman" w:asciiTheme="minorEastAsia" w:hAnsiTheme="minorEastAsia" w:eastAsiaTheme="minorEastAsia"/>
              </w:rPr>
              <w:t xml:space="preserve"> 有镂空</w:t>
            </w:r>
            <w:r>
              <w:rPr>
                <w:rFonts w:hint="eastAsia" w:cs="微软雅黑" w:asciiTheme="minorEastAsia" w:hAnsiTheme="minorEastAsia" w:eastAsiaTheme="minorEastAsia"/>
              </w:rPr>
              <w:t>砂</w:t>
            </w:r>
            <w:r>
              <w:rPr>
                <w:rFonts w:hint="eastAsia" w:cs="Times New Roman" w:asciiTheme="minorEastAsia" w:hAnsiTheme="minorEastAsia" w:eastAsiaTheme="minorEastAsia"/>
              </w:rPr>
              <w:t>型浇注得到的应力框铸件</w:t>
            </w:r>
          </w:p>
        </w:tc>
      </w:tr>
    </w:tbl>
    <w:p>
      <w:pPr>
        <w:spacing w:line="276"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采用镂空</w:t>
      </w:r>
      <w:r>
        <w:rPr>
          <w:rFonts w:hint="eastAsia" w:cs="微软雅黑" w:asciiTheme="minorEastAsia" w:hAnsiTheme="minorEastAsia"/>
        </w:rPr>
        <w:t>砂</w:t>
      </w:r>
      <w:r>
        <w:rPr>
          <w:rFonts w:hint="eastAsia" w:cs="Times New Roman" w:asciiTheme="minorEastAsia" w:hAnsiTheme="minorEastAsia"/>
          <w:sz w:val="24"/>
          <w:szCs w:val="24"/>
        </w:rPr>
        <w:t>型时应力框粗杆中心的冷却曲线和传统密实铸型条件下的冷却曲线对比如图</w:t>
      </w:r>
      <w:r>
        <w:rPr>
          <w:rFonts w:cs="Times New Roman" w:asciiTheme="minorEastAsia" w:hAnsiTheme="minorEastAsia"/>
          <w:sz w:val="24"/>
          <w:szCs w:val="24"/>
        </w:rPr>
        <w:t>6</w:t>
      </w:r>
      <w:r>
        <w:rPr>
          <w:rFonts w:hint="eastAsia" w:cs="Times New Roman" w:asciiTheme="minorEastAsia" w:hAnsiTheme="minorEastAsia"/>
          <w:sz w:val="24"/>
          <w:szCs w:val="24"/>
        </w:rPr>
        <w:t>所示。从图中可以看出采用镂空</w:t>
      </w:r>
      <w:r>
        <w:rPr>
          <w:rFonts w:hint="eastAsia" w:cs="微软雅黑" w:asciiTheme="minorEastAsia" w:hAnsiTheme="minorEastAsia"/>
        </w:rPr>
        <w:t>砂</w:t>
      </w:r>
      <w:r>
        <w:rPr>
          <w:rFonts w:hint="eastAsia" w:cs="Times New Roman" w:asciiTheme="minorEastAsia" w:hAnsiTheme="minorEastAsia"/>
          <w:sz w:val="24"/>
          <w:szCs w:val="24"/>
        </w:rPr>
        <w:t>型后粗杆后期的冷却速度明显快于密实</w:t>
      </w:r>
      <w:r>
        <w:rPr>
          <w:rFonts w:hint="eastAsia" w:cs="微软雅黑" w:asciiTheme="minorEastAsia" w:hAnsiTheme="minorEastAsia"/>
        </w:rPr>
        <w:t>砂</w:t>
      </w:r>
      <w:r>
        <w:rPr>
          <w:rFonts w:hint="eastAsia" w:cs="Times New Roman" w:asciiTheme="minorEastAsia" w:hAnsiTheme="minorEastAsia"/>
          <w:sz w:val="24"/>
          <w:szCs w:val="24"/>
        </w:rPr>
        <w:t>型的情况，这是由于镂空</w:t>
      </w:r>
      <w:r>
        <w:rPr>
          <w:rFonts w:hint="eastAsia" w:cs="微软雅黑" w:asciiTheme="minorEastAsia" w:hAnsiTheme="minorEastAsia"/>
        </w:rPr>
        <w:t>砂</w:t>
      </w:r>
      <w:r>
        <w:rPr>
          <w:rFonts w:hint="eastAsia" w:cs="Times New Roman" w:asciiTheme="minorEastAsia" w:hAnsiTheme="minorEastAsia"/>
          <w:sz w:val="24"/>
          <w:szCs w:val="24"/>
        </w:rPr>
        <w:t>型壁厚较薄，表面温度高，因此和空气之间的传热效率高，因此铸件的冷却效率高，不同于密实</w:t>
      </w:r>
      <w:r>
        <w:rPr>
          <w:rFonts w:hint="eastAsia" w:cs="微软雅黑" w:asciiTheme="minorEastAsia" w:hAnsiTheme="minorEastAsia"/>
        </w:rPr>
        <w:t>砂</w:t>
      </w:r>
      <w:r>
        <w:rPr>
          <w:rFonts w:hint="eastAsia" w:cs="Times New Roman" w:asciiTheme="minorEastAsia" w:hAnsiTheme="minorEastAsia"/>
          <w:sz w:val="24"/>
          <w:szCs w:val="24"/>
        </w:rPr>
        <w:t>型在铸造后期由于蓄能接近饱和而缓慢冷却的情况。镂空</w:t>
      </w:r>
      <w:r>
        <w:rPr>
          <w:rFonts w:hint="eastAsia" w:cs="微软雅黑" w:asciiTheme="minorEastAsia" w:hAnsiTheme="minorEastAsia"/>
        </w:rPr>
        <w:t>砂</w:t>
      </w:r>
      <w:r>
        <w:rPr>
          <w:rFonts w:hint="eastAsia" w:cs="Times New Roman" w:asciiTheme="minorEastAsia" w:hAnsiTheme="minorEastAsia"/>
          <w:sz w:val="24"/>
          <w:szCs w:val="24"/>
        </w:rPr>
        <w:t>型的冷却效率提高28%以上，见表1。</w:t>
      </w:r>
    </w:p>
    <w:p>
      <w:pPr>
        <w:spacing w:line="276" w:lineRule="auto"/>
        <w:ind w:firstLine="420" w:firstLineChars="200"/>
        <w:rPr>
          <w:rFonts w:cs="Times New Roman" w:asciiTheme="minorEastAsia" w:hAnsiTheme="minorEastAsia"/>
          <w:szCs w:val="21"/>
        </w:rPr>
      </w:pPr>
    </w:p>
    <w:p>
      <w:pPr>
        <w:jc w:val="center"/>
        <w:rPr>
          <w:rFonts w:asciiTheme="minorEastAsia" w:hAnsiTheme="minorEastAsia"/>
          <w:szCs w:val="21"/>
        </w:rPr>
      </w:pPr>
      <w:r>
        <w:rPr>
          <w:rFonts w:hint="eastAsia" w:asciiTheme="minorEastAsia" w:hAnsiTheme="minorEastAsia"/>
          <w:b/>
          <w:szCs w:val="21"/>
        </w:rPr>
        <w:t>表1 镂空</w:t>
      </w:r>
      <w:r>
        <w:rPr>
          <w:rFonts w:hint="eastAsia" w:cs="微软雅黑" w:asciiTheme="minorEastAsia" w:hAnsiTheme="minorEastAsia"/>
        </w:rPr>
        <w:t>砂</w:t>
      </w:r>
      <w:r>
        <w:rPr>
          <w:rFonts w:hint="eastAsia" w:asciiTheme="minorEastAsia" w:hAnsiTheme="minorEastAsia"/>
          <w:b/>
          <w:szCs w:val="21"/>
        </w:rPr>
        <w:t>型的型砂节约、控制冷却的效果</w:t>
      </w:r>
    </w:p>
    <w:tbl>
      <w:tblPr>
        <w:tblStyle w:val="10"/>
        <w:tblW w:w="8711"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736"/>
        <w:gridCol w:w="894"/>
        <w:gridCol w:w="1141"/>
        <w:gridCol w:w="1201"/>
        <w:gridCol w:w="1070"/>
        <w:gridCol w:w="2669"/>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736" w:type="dxa"/>
            <w:tcBorders>
              <w:bottom w:val="single" w:color="auto" w:sz="4" w:space="0"/>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类型</w:t>
            </w:r>
          </w:p>
        </w:tc>
        <w:tc>
          <w:tcPr>
            <w:tcW w:w="894" w:type="dxa"/>
            <w:tcBorders>
              <w:bottom w:val="single" w:color="auto" w:sz="4" w:space="0"/>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壳型厚度</w:t>
            </w:r>
            <w:r>
              <w:rPr>
                <w:rFonts w:hint="eastAsia" w:asciiTheme="minorEastAsia" w:hAnsiTheme="minorEastAsia" w:eastAsiaTheme="minorEastAsia"/>
                <w:kern w:val="2"/>
                <w:sz w:val="21"/>
                <w:szCs w:val="21"/>
                <w:lang w:eastAsia="zh-CN"/>
              </w:rPr>
              <w:t xml:space="preserve"> (</w:t>
            </w:r>
            <w:r>
              <w:rPr>
                <w:rFonts w:asciiTheme="minorEastAsia" w:hAnsiTheme="minorEastAsia" w:eastAsiaTheme="minorEastAsia"/>
                <w:kern w:val="2"/>
                <w:sz w:val="21"/>
                <w:szCs w:val="21"/>
                <w:lang w:eastAsia="zh-CN"/>
              </w:rPr>
              <w:t>mm</w:t>
            </w:r>
            <w:r>
              <w:rPr>
                <w:rFonts w:hint="eastAsia" w:asciiTheme="minorEastAsia" w:hAnsiTheme="minorEastAsia" w:eastAsiaTheme="minorEastAsia"/>
                <w:kern w:val="2"/>
                <w:sz w:val="21"/>
                <w:szCs w:val="21"/>
                <w:lang w:eastAsia="zh-CN"/>
              </w:rPr>
              <w:t>)</w:t>
            </w:r>
          </w:p>
        </w:tc>
        <w:tc>
          <w:tcPr>
            <w:tcW w:w="1141" w:type="dxa"/>
            <w:tcBorders>
              <w:bottom w:val="single" w:color="auto" w:sz="4" w:space="0"/>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桁架杆</w:t>
            </w:r>
            <w:r>
              <w:rPr>
                <w:rFonts w:hint="eastAsia" w:asciiTheme="minorEastAsia" w:hAnsiTheme="minorEastAsia" w:eastAsiaTheme="minorEastAsia"/>
                <w:kern w:val="2"/>
                <w:sz w:val="21"/>
                <w:szCs w:val="21"/>
                <w:lang w:eastAsia="zh-CN"/>
              </w:rPr>
              <w:t>/筋</w:t>
            </w:r>
            <w:r>
              <w:rPr>
                <w:rFonts w:asciiTheme="minorEastAsia" w:hAnsiTheme="minorEastAsia" w:eastAsiaTheme="minorEastAsia"/>
                <w:kern w:val="2"/>
                <w:sz w:val="21"/>
                <w:szCs w:val="21"/>
                <w:lang w:eastAsia="zh-CN"/>
              </w:rPr>
              <w:t>断面</w:t>
            </w:r>
            <w:r>
              <w:rPr>
                <w:rFonts w:hint="eastAsia" w:asciiTheme="minorEastAsia" w:hAnsiTheme="minorEastAsia" w:eastAsiaTheme="minorEastAsia"/>
                <w:kern w:val="2"/>
                <w:sz w:val="21"/>
                <w:szCs w:val="21"/>
                <w:lang w:eastAsia="zh-CN"/>
              </w:rPr>
              <w:t xml:space="preserve"> (</w:t>
            </w:r>
            <w:r>
              <w:rPr>
                <w:rFonts w:asciiTheme="minorEastAsia" w:hAnsiTheme="minorEastAsia" w:eastAsiaTheme="minorEastAsia"/>
                <w:kern w:val="2"/>
                <w:sz w:val="21"/>
                <w:szCs w:val="21"/>
                <w:lang w:eastAsia="zh-CN"/>
              </w:rPr>
              <w:t>mm</w:t>
            </w:r>
            <w:r>
              <w:rPr>
                <w:rFonts w:hint="eastAsia" w:asciiTheme="minorEastAsia" w:hAnsiTheme="minorEastAsia" w:eastAsiaTheme="minorEastAsia"/>
                <w:kern w:val="2"/>
                <w:sz w:val="21"/>
                <w:szCs w:val="21"/>
                <w:lang w:eastAsia="zh-CN"/>
              </w:rPr>
              <w:t>)</w:t>
            </w:r>
          </w:p>
        </w:tc>
        <w:tc>
          <w:tcPr>
            <w:tcW w:w="1201" w:type="dxa"/>
            <w:tcBorders>
              <w:bottom w:val="single" w:color="auto" w:sz="4" w:space="0"/>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砂型重量</w:t>
            </w:r>
            <w:r>
              <w:rPr>
                <w:rFonts w:hint="eastAsia" w:asciiTheme="minorEastAsia" w:hAnsiTheme="minorEastAsia" w:eastAsiaTheme="minorEastAsia"/>
                <w:kern w:val="2"/>
                <w:sz w:val="21"/>
                <w:szCs w:val="21"/>
                <w:lang w:eastAsia="zh-CN"/>
              </w:rPr>
              <w:t xml:space="preserve"> (</w:t>
            </w:r>
            <w:r>
              <w:rPr>
                <w:rFonts w:asciiTheme="minorEastAsia" w:hAnsiTheme="minorEastAsia" w:eastAsiaTheme="minorEastAsia"/>
                <w:kern w:val="2"/>
                <w:sz w:val="21"/>
                <w:szCs w:val="21"/>
                <w:lang w:eastAsia="zh-CN"/>
              </w:rPr>
              <w:t>Kg</w:t>
            </w:r>
            <w:r>
              <w:rPr>
                <w:rFonts w:hint="eastAsia" w:asciiTheme="minorEastAsia" w:hAnsiTheme="minorEastAsia" w:eastAsiaTheme="minorEastAsia"/>
                <w:kern w:val="2"/>
                <w:sz w:val="21"/>
                <w:szCs w:val="21"/>
                <w:lang w:eastAsia="zh-CN"/>
              </w:rPr>
              <w:t>)</w:t>
            </w:r>
          </w:p>
        </w:tc>
        <w:tc>
          <w:tcPr>
            <w:tcW w:w="1070" w:type="dxa"/>
            <w:tcBorders>
              <w:bottom w:val="single" w:color="auto" w:sz="4" w:space="0"/>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 xml:space="preserve">型砂减重率 </w:t>
            </w:r>
            <w:r>
              <w:rPr>
                <w:rFonts w:hint="eastAsia" w:asciiTheme="minorEastAsia" w:hAnsiTheme="minorEastAsia" w:eastAsiaTheme="minorEastAsia"/>
                <w:kern w:val="2"/>
                <w:sz w:val="21"/>
                <w:szCs w:val="21"/>
                <w:lang w:eastAsia="zh-CN"/>
              </w:rPr>
              <w:t>(</w:t>
            </w:r>
            <w:r>
              <w:rPr>
                <w:rFonts w:asciiTheme="minorEastAsia" w:hAnsiTheme="minorEastAsia" w:eastAsiaTheme="minorEastAsia"/>
                <w:kern w:val="2"/>
                <w:sz w:val="21"/>
                <w:szCs w:val="21"/>
                <w:lang w:eastAsia="zh-CN"/>
              </w:rPr>
              <w:t>%</w:t>
            </w:r>
            <w:r>
              <w:rPr>
                <w:rFonts w:hint="eastAsia" w:asciiTheme="minorEastAsia" w:hAnsiTheme="minorEastAsia" w:eastAsiaTheme="minorEastAsia"/>
                <w:kern w:val="2"/>
                <w:sz w:val="21"/>
                <w:szCs w:val="21"/>
                <w:lang w:eastAsia="zh-CN"/>
              </w:rPr>
              <w:t>)</w:t>
            </w:r>
          </w:p>
        </w:tc>
        <w:tc>
          <w:tcPr>
            <w:tcW w:w="2669" w:type="dxa"/>
            <w:tcBorders>
              <w:bottom w:val="single" w:color="auto" w:sz="4" w:space="0"/>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冷却效率</w:t>
            </w:r>
            <w:r>
              <w:rPr>
                <w:rFonts w:hint="eastAsia" w:asciiTheme="minorEastAsia" w:hAnsiTheme="minorEastAsia" w:eastAsiaTheme="minorEastAsia" w:cstheme="minorBidi"/>
                <w:kern w:val="2"/>
                <w:sz w:val="21"/>
                <w:szCs w:val="21"/>
                <w:lang w:eastAsia="zh-CN"/>
              </w:rPr>
              <w:t>7</w:t>
            </w:r>
            <w:r>
              <w:rPr>
                <w:rFonts w:asciiTheme="minorEastAsia" w:hAnsiTheme="minorEastAsia" w:eastAsiaTheme="minorEastAsia" w:cstheme="minorBidi"/>
                <w:kern w:val="2"/>
                <w:sz w:val="21"/>
                <w:szCs w:val="21"/>
                <w:lang w:eastAsia="zh-CN"/>
              </w:rPr>
              <w:t>00</w:t>
            </w:r>
            <w:r>
              <w:rPr>
                <w:rFonts w:hint="eastAsia" w:asciiTheme="minorEastAsia" w:hAnsiTheme="minorEastAsia" w:eastAsiaTheme="minorEastAsia" w:cstheme="minorBidi"/>
                <w:kern w:val="2"/>
                <w:sz w:val="21"/>
                <w:szCs w:val="21"/>
                <w:lang w:eastAsia="zh-CN"/>
              </w:rPr>
              <w:t xml:space="preserve"> to</w:t>
            </w:r>
            <w:r>
              <w:rPr>
                <w:rFonts w:asciiTheme="minorEastAsia" w:hAnsiTheme="minorEastAsia" w:eastAsiaTheme="minorEastAsia" w:cstheme="minorBidi"/>
                <w:kern w:val="2"/>
                <w:sz w:val="21"/>
                <w:szCs w:val="21"/>
                <w:lang w:eastAsia="zh-CN"/>
              </w:rPr>
              <w:t xml:space="preserve"> </w:t>
            </w:r>
            <w:r>
              <w:rPr>
                <w:rFonts w:hint="eastAsia" w:asciiTheme="minorEastAsia" w:hAnsiTheme="minorEastAsia" w:eastAsiaTheme="minorEastAsia" w:cstheme="minorBidi"/>
                <w:kern w:val="2"/>
                <w:sz w:val="21"/>
                <w:szCs w:val="21"/>
                <w:lang w:eastAsia="zh-CN"/>
              </w:rPr>
              <w:t>2</w:t>
            </w:r>
            <w:r>
              <w:rPr>
                <w:rFonts w:asciiTheme="minorEastAsia" w:hAnsiTheme="minorEastAsia" w:eastAsiaTheme="minorEastAsia" w:cstheme="minorBidi"/>
                <w:kern w:val="2"/>
                <w:sz w:val="21"/>
                <w:szCs w:val="21"/>
                <w:lang w:eastAsia="zh-CN"/>
              </w:rPr>
              <w:t>00</w:t>
            </w:r>
            <w:r>
              <w:rPr>
                <w:rFonts w:asciiTheme="minorEastAsia" w:hAnsiTheme="minorEastAsia" w:eastAsiaTheme="minorEastAsia"/>
                <w:kern w:val="2"/>
                <w:sz w:val="21"/>
                <w:szCs w:val="21"/>
                <w:lang w:eastAsia="zh-CN"/>
              </w:rPr>
              <w:t>提高率提高或凝固时间延长</w:t>
            </w:r>
            <w:r>
              <w:rPr>
                <w:rFonts w:hint="eastAsia" w:asciiTheme="minorEastAsia" w:hAnsiTheme="minorEastAsia" w:eastAsiaTheme="minorEastAsia"/>
                <w:kern w:val="2"/>
                <w:sz w:val="21"/>
                <w:szCs w:val="21"/>
                <w:lang w:eastAsia="zh-CN"/>
              </w:rPr>
              <w:t>(</w:t>
            </w:r>
            <w:r>
              <w:rPr>
                <w:rFonts w:asciiTheme="minorEastAsia" w:hAnsiTheme="minorEastAsia" w:eastAsiaTheme="minorEastAsia"/>
                <w:kern w:val="2"/>
                <w:sz w:val="21"/>
                <w:szCs w:val="21"/>
                <w:lang w:eastAsia="zh-CN"/>
              </w:rPr>
              <w:t>%</w:t>
            </w:r>
            <w:r>
              <w:rPr>
                <w:rFonts w:hint="eastAsia" w:asciiTheme="minorEastAsia" w:hAnsiTheme="minorEastAsia" w:eastAsiaTheme="minorEastAsia"/>
                <w:kern w:val="2"/>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736" w:type="dxa"/>
            <w:tcBorders>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传统密实</w:t>
            </w:r>
            <w:r>
              <w:rPr>
                <w:rFonts w:hint="eastAsia" w:cs="微软雅黑" w:asciiTheme="minorEastAsia" w:hAnsiTheme="minorEastAsia" w:eastAsiaTheme="minorEastAsia"/>
              </w:rPr>
              <w:t>砂</w:t>
            </w:r>
            <w:r>
              <w:rPr>
                <w:rFonts w:asciiTheme="minorEastAsia" w:hAnsiTheme="minorEastAsia" w:eastAsiaTheme="minorEastAsia"/>
                <w:kern w:val="2"/>
                <w:sz w:val="21"/>
                <w:szCs w:val="21"/>
                <w:lang w:eastAsia="zh-CN"/>
              </w:rPr>
              <w:t>型</w:t>
            </w:r>
          </w:p>
        </w:tc>
        <w:tc>
          <w:tcPr>
            <w:tcW w:w="894" w:type="dxa"/>
            <w:tcBorders>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w:t>
            </w:r>
          </w:p>
        </w:tc>
        <w:tc>
          <w:tcPr>
            <w:tcW w:w="1141" w:type="dxa"/>
            <w:tcBorders>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w:t>
            </w:r>
          </w:p>
        </w:tc>
        <w:tc>
          <w:tcPr>
            <w:tcW w:w="1201" w:type="dxa"/>
            <w:tcBorders>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30</w:t>
            </w:r>
          </w:p>
        </w:tc>
        <w:tc>
          <w:tcPr>
            <w:tcW w:w="1070" w:type="dxa"/>
            <w:tcBorders>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0</w:t>
            </w:r>
          </w:p>
        </w:tc>
        <w:tc>
          <w:tcPr>
            <w:tcW w:w="2669" w:type="dxa"/>
            <w:tcBorders>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736"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镂空</w:t>
            </w:r>
            <w:r>
              <w:rPr>
                <w:rFonts w:hint="eastAsia" w:cs="微软雅黑" w:asciiTheme="minorEastAsia" w:hAnsiTheme="minorEastAsia" w:eastAsiaTheme="minorEastAsia"/>
              </w:rPr>
              <w:t>砂</w:t>
            </w:r>
            <w:r>
              <w:rPr>
                <w:rFonts w:asciiTheme="minorEastAsia" w:hAnsiTheme="minorEastAsia" w:eastAsiaTheme="minorEastAsia"/>
                <w:kern w:val="2"/>
                <w:sz w:val="21"/>
                <w:szCs w:val="21"/>
                <w:lang w:eastAsia="zh-CN"/>
              </w:rPr>
              <w:t>型1</w:t>
            </w:r>
          </w:p>
        </w:tc>
        <w:tc>
          <w:tcPr>
            <w:tcW w:w="894"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10</w:t>
            </w:r>
          </w:p>
        </w:tc>
        <w:tc>
          <w:tcPr>
            <w:tcW w:w="1141"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2020</w:t>
            </w:r>
          </w:p>
        </w:tc>
        <w:tc>
          <w:tcPr>
            <w:tcW w:w="1201"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12</w:t>
            </w:r>
          </w:p>
        </w:tc>
        <w:tc>
          <w:tcPr>
            <w:tcW w:w="1070"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60</w:t>
            </w:r>
          </w:p>
        </w:tc>
        <w:tc>
          <w:tcPr>
            <w:tcW w:w="2669"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hint="eastAsia" w:asciiTheme="minorEastAsia" w:hAnsiTheme="minorEastAsia" w:eastAsiaTheme="minorEastAsia"/>
                <w:kern w:val="2"/>
                <w:sz w:val="21"/>
                <w:szCs w:val="21"/>
                <w:lang w:eastAsia="zh-CN"/>
              </w:rPr>
              <w:t>冷却提高28</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736"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镂空</w:t>
            </w:r>
            <w:r>
              <w:rPr>
                <w:rFonts w:hint="eastAsia" w:cs="微软雅黑" w:asciiTheme="minorEastAsia" w:hAnsiTheme="minorEastAsia" w:eastAsiaTheme="minorEastAsia"/>
              </w:rPr>
              <w:t>砂</w:t>
            </w:r>
            <w:r>
              <w:rPr>
                <w:rFonts w:asciiTheme="minorEastAsia" w:hAnsiTheme="minorEastAsia" w:eastAsiaTheme="minorEastAsia"/>
                <w:kern w:val="2"/>
                <w:sz w:val="21"/>
                <w:szCs w:val="21"/>
                <w:lang w:eastAsia="zh-CN"/>
              </w:rPr>
              <w:t>型1+整体风冷</w:t>
            </w:r>
          </w:p>
        </w:tc>
        <w:tc>
          <w:tcPr>
            <w:tcW w:w="894"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10</w:t>
            </w:r>
          </w:p>
        </w:tc>
        <w:tc>
          <w:tcPr>
            <w:tcW w:w="1141"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2020</w:t>
            </w:r>
          </w:p>
        </w:tc>
        <w:tc>
          <w:tcPr>
            <w:tcW w:w="1201"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12</w:t>
            </w:r>
          </w:p>
        </w:tc>
        <w:tc>
          <w:tcPr>
            <w:tcW w:w="1070"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60</w:t>
            </w:r>
          </w:p>
        </w:tc>
        <w:tc>
          <w:tcPr>
            <w:tcW w:w="2669"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54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736"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镂空</w:t>
            </w:r>
            <w:r>
              <w:rPr>
                <w:rFonts w:hint="eastAsia" w:cs="微软雅黑" w:asciiTheme="minorEastAsia" w:hAnsiTheme="minorEastAsia" w:eastAsiaTheme="minorEastAsia"/>
              </w:rPr>
              <w:t>砂</w:t>
            </w:r>
            <w:r>
              <w:rPr>
                <w:rFonts w:asciiTheme="minorEastAsia" w:hAnsiTheme="minorEastAsia" w:eastAsiaTheme="minorEastAsia"/>
                <w:kern w:val="2"/>
                <w:sz w:val="21"/>
                <w:szCs w:val="21"/>
                <w:lang w:eastAsia="zh-CN"/>
              </w:rPr>
              <w:t>型2+整体风冷</w:t>
            </w:r>
          </w:p>
        </w:tc>
        <w:tc>
          <w:tcPr>
            <w:tcW w:w="894"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10</w:t>
            </w:r>
          </w:p>
        </w:tc>
        <w:tc>
          <w:tcPr>
            <w:tcW w:w="1141"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Φ10</w:t>
            </w:r>
          </w:p>
        </w:tc>
        <w:tc>
          <w:tcPr>
            <w:tcW w:w="1201"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hint="eastAsia" w:asciiTheme="minorEastAsia" w:hAnsiTheme="minorEastAsia" w:eastAsiaTheme="minorEastAsia"/>
                <w:kern w:val="2"/>
                <w:sz w:val="21"/>
                <w:szCs w:val="21"/>
                <w:lang w:eastAsia="zh-CN"/>
              </w:rPr>
              <w:t>6</w:t>
            </w:r>
          </w:p>
        </w:tc>
        <w:tc>
          <w:tcPr>
            <w:tcW w:w="1070"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80</w:t>
            </w:r>
          </w:p>
        </w:tc>
        <w:tc>
          <w:tcPr>
            <w:tcW w:w="2669"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hint="eastAsia" w:asciiTheme="minorEastAsia" w:hAnsiTheme="minorEastAsia" w:eastAsiaTheme="minorEastAsia"/>
                <w:kern w:val="2"/>
                <w:sz w:val="21"/>
                <w:szCs w:val="21"/>
                <w:lang w:eastAsia="zh-CN"/>
              </w:rPr>
              <w:t>55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736"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镂空</w:t>
            </w:r>
            <w:r>
              <w:rPr>
                <w:rFonts w:hint="eastAsia" w:cs="微软雅黑" w:asciiTheme="minorEastAsia" w:hAnsiTheme="minorEastAsia" w:eastAsiaTheme="minorEastAsia"/>
              </w:rPr>
              <w:t>砂</w:t>
            </w:r>
            <w:r>
              <w:rPr>
                <w:rFonts w:asciiTheme="minorEastAsia" w:hAnsiTheme="minorEastAsia" w:eastAsiaTheme="minorEastAsia"/>
                <w:kern w:val="2"/>
                <w:sz w:val="21"/>
                <w:szCs w:val="21"/>
                <w:lang w:eastAsia="zh-CN"/>
              </w:rPr>
              <w:t>型3</w:t>
            </w:r>
          </w:p>
        </w:tc>
        <w:tc>
          <w:tcPr>
            <w:tcW w:w="894"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10</w:t>
            </w:r>
          </w:p>
        </w:tc>
        <w:tc>
          <w:tcPr>
            <w:tcW w:w="1141"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10</w:t>
            </w:r>
            <w:r>
              <w:rPr>
                <w:rFonts w:hint="eastAsia" w:asciiTheme="minorEastAsia" w:hAnsiTheme="minorEastAsia" w:eastAsiaTheme="minorEastAsia"/>
                <w:kern w:val="2"/>
                <w:sz w:val="21"/>
                <w:szCs w:val="21"/>
                <w:lang w:eastAsia="zh-CN"/>
              </w:rPr>
              <w:t>10</w:t>
            </w:r>
          </w:p>
        </w:tc>
        <w:tc>
          <w:tcPr>
            <w:tcW w:w="1201"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hint="eastAsia" w:asciiTheme="minorEastAsia" w:hAnsiTheme="minorEastAsia" w:eastAsiaTheme="minorEastAsia"/>
                <w:kern w:val="2"/>
                <w:sz w:val="21"/>
                <w:szCs w:val="21"/>
                <w:lang w:eastAsia="zh-CN"/>
              </w:rPr>
              <w:t>3</w:t>
            </w:r>
          </w:p>
        </w:tc>
        <w:tc>
          <w:tcPr>
            <w:tcW w:w="1070"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90</w:t>
            </w:r>
          </w:p>
        </w:tc>
        <w:tc>
          <w:tcPr>
            <w:tcW w:w="2669" w:type="dxa"/>
            <w:tcBorders>
              <w:top w:val="nil"/>
              <w:bottom w:val="nil"/>
            </w:tcBorders>
          </w:tcPr>
          <w:p>
            <w:pPr>
              <w:pStyle w:val="3"/>
              <w:ind w:firstLine="0"/>
              <w:jc w:val="center"/>
              <w:rPr>
                <w:rFonts w:asciiTheme="minorEastAsia" w:hAnsiTheme="minorEastAsia" w:eastAsiaTheme="minorEastAsia"/>
                <w:kern w:val="2"/>
                <w:sz w:val="21"/>
                <w:szCs w:val="21"/>
                <w:lang w:eastAsia="zh-CN"/>
              </w:rPr>
            </w:pPr>
            <w:r>
              <w:rPr>
                <w:rFonts w:hint="eastAsia" w:asciiTheme="minorEastAsia" w:hAnsiTheme="minorEastAsia" w:eastAsiaTheme="minorEastAsia"/>
                <w:kern w:val="2"/>
                <w:sz w:val="21"/>
                <w:szCs w:val="21"/>
                <w:lang w:eastAsia="zh-CN"/>
              </w:rPr>
              <w:t>35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736" w:type="dxa"/>
            <w:tcBorders>
              <w:top w:val="nil"/>
              <w:bottom w:val="single" w:color="auto" w:sz="4" w:space="0"/>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空气套保温</w:t>
            </w:r>
          </w:p>
        </w:tc>
        <w:tc>
          <w:tcPr>
            <w:tcW w:w="894" w:type="dxa"/>
            <w:tcBorders>
              <w:top w:val="nil"/>
              <w:bottom w:val="single" w:color="auto" w:sz="4" w:space="0"/>
            </w:tcBorders>
          </w:tcPr>
          <w:p>
            <w:pPr>
              <w:pStyle w:val="3"/>
              <w:ind w:firstLine="0"/>
              <w:jc w:val="center"/>
              <w:rPr>
                <w:rFonts w:asciiTheme="minorEastAsia" w:hAnsiTheme="minorEastAsia" w:eastAsiaTheme="minorEastAsia"/>
                <w:kern w:val="2"/>
                <w:sz w:val="21"/>
                <w:szCs w:val="21"/>
                <w:lang w:eastAsia="zh-CN"/>
              </w:rPr>
            </w:pPr>
          </w:p>
        </w:tc>
        <w:tc>
          <w:tcPr>
            <w:tcW w:w="1141" w:type="dxa"/>
            <w:tcBorders>
              <w:top w:val="nil"/>
              <w:bottom w:val="single" w:color="auto" w:sz="4" w:space="0"/>
            </w:tcBorders>
          </w:tcPr>
          <w:p>
            <w:pPr>
              <w:pStyle w:val="3"/>
              <w:ind w:firstLine="0"/>
              <w:jc w:val="center"/>
              <w:rPr>
                <w:rFonts w:asciiTheme="minorEastAsia" w:hAnsiTheme="minorEastAsia" w:eastAsiaTheme="minorEastAsia"/>
                <w:kern w:val="2"/>
                <w:sz w:val="21"/>
                <w:szCs w:val="21"/>
                <w:lang w:eastAsia="zh-CN"/>
              </w:rPr>
            </w:pPr>
          </w:p>
        </w:tc>
        <w:tc>
          <w:tcPr>
            <w:tcW w:w="1201" w:type="dxa"/>
            <w:tcBorders>
              <w:top w:val="nil"/>
              <w:bottom w:val="single" w:color="auto" w:sz="4" w:space="0"/>
            </w:tcBorders>
          </w:tcPr>
          <w:p>
            <w:pPr>
              <w:pStyle w:val="3"/>
              <w:ind w:firstLine="0"/>
              <w:jc w:val="center"/>
              <w:rPr>
                <w:rFonts w:asciiTheme="minorEastAsia" w:hAnsiTheme="minorEastAsia" w:eastAsiaTheme="minorEastAsia"/>
                <w:kern w:val="2"/>
                <w:sz w:val="21"/>
                <w:szCs w:val="21"/>
                <w:lang w:eastAsia="zh-CN"/>
              </w:rPr>
            </w:pPr>
          </w:p>
        </w:tc>
        <w:tc>
          <w:tcPr>
            <w:tcW w:w="1070" w:type="dxa"/>
            <w:tcBorders>
              <w:top w:val="nil"/>
              <w:bottom w:val="single" w:color="auto" w:sz="4" w:space="0"/>
            </w:tcBorders>
          </w:tcPr>
          <w:p>
            <w:pPr>
              <w:pStyle w:val="3"/>
              <w:ind w:firstLine="0"/>
              <w:jc w:val="center"/>
              <w:rPr>
                <w:rFonts w:asciiTheme="minorEastAsia" w:hAnsiTheme="minorEastAsia" w:eastAsiaTheme="minorEastAsia"/>
                <w:kern w:val="2"/>
                <w:sz w:val="21"/>
                <w:szCs w:val="21"/>
                <w:lang w:eastAsia="zh-CN"/>
              </w:rPr>
            </w:pPr>
          </w:p>
        </w:tc>
        <w:tc>
          <w:tcPr>
            <w:tcW w:w="2669" w:type="dxa"/>
            <w:tcBorders>
              <w:top w:val="nil"/>
              <w:bottom w:val="single" w:color="auto" w:sz="4" w:space="0"/>
            </w:tcBorders>
          </w:tcPr>
          <w:p>
            <w:pPr>
              <w:pStyle w:val="3"/>
              <w:ind w:firstLine="0"/>
              <w:jc w:val="center"/>
              <w:rPr>
                <w:rFonts w:asciiTheme="minorEastAsia" w:hAnsiTheme="minorEastAsia" w:eastAsiaTheme="minorEastAsia"/>
                <w:kern w:val="2"/>
                <w:sz w:val="21"/>
                <w:szCs w:val="21"/>
                <w:lang w:eastAsia="zh-CN"/>
              </w:rPr>
            </w:pPr>
            <w:r>
              <w:rPr>
                <w:rFonts w:asciiTheme="minorEastAsia" w:hAnsiTheme="minorEastAsia" w:eastAsiaTheme="minorEastAsia"/>
                <w:kern w:val="2"/>
                <w:sz w:val="21"/>
                <w:szCs w:val="21"/>
                <w:lang w:eastAsia="zh-CN"/>
              </w:rPr>
              <w:t>凝固时间</w:t>
            </w:r>
            <w:r>
              <w:rPr>
                <w:rFonts w:hint="eastAsia" w:asciiTheme="minorEastAsia" w:hAnsiTheme="minorEastAsia"/>
                <w:szCs w:val="21"/>
              </w:rPr>
              <w:t>延长14%</w:t>
            </w:r>
          </w:p>
        </w:tc>
      </w:tr>
    </w:tbl>
    <w:p>
      <w:pPr>
        <w:spacing w:line="276"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镂空结构</w:t>
      </w:r>
      <w:r>
        <w:rPr>
          <w:rFonts w:hint="eastAsia" w:cs="Times New Roman" w:asciiTheme="minorEastAsia" w:hAnsiTheme="minorEastAsia"/>
          <w:sz w:val="24"/>
          <w:szCs w:val="24"/>
        </w:rPr>
        <w:t>4</w:t>
      </w:r>
      <w:r>
        <w:rPr>
          <w:rFonts w:cs="Times New Roman" w:asciiTheme="minorEastAsia" w:hAnsiTheme="minorEastAsia"/>
          <w:sz w:val="24"/>
          <w:szCs w:val="24"/>
        </w:rPr>
        <w:t>中在冒口部位采用了中空层设计，中空层内的空气导热效率低，因此具有一定的保温作用</w:t>
      </w:r>
      <w:r>
        <w:rPr>
          <w:rFonts w:hint="eastAsia" w:cs="Times New Roman" w:asciiTheme="minorEastAsia" w:hAnsiTheme="minorEastAsia"/>
          <w:sz w:val="24"/>
          <w:szCs w:val="24"/>
        </w:rPr>
        <w:t>。从图中可以看出冒口的凝固时间推迟120s，如图7所示，这有利于提高冒口的补缩能力。该中中空层结构也可以用于铸件薄壁部位以缓解和厚大部位的温差，从而降低铸件的残余应力，减小变形。</w:t>
      </w:r>
    </w:p>
    <w:p>
      <w:pPr>
        <w:spacing w:line="276" w:lineRule="auto"/>
        <w:ind w:firstLine="480" w:firstLineChars="200"/>
        <w:rPr>
          <w:rFonts w:cs="Times New Roman" w:asciiTheme="minorEastAsia" w:hAnsiTheme="minorEastAsia"/>
          <w:kern w:val="0"/>
          <w:sz w:val="24"/>
          <w:szCs w:val="24"/>
        </w:rPr>
      </w:pPr>
      <w:r>
        <w:rPr>
          <w:rFonts w:cs="Times New Roman" w:asciiTheme="minorEastAsia" w:hAnsiTheme="minorEastAsia"/>
          <w:kern w:val="0"/>
          <w:sz w:val="24"/>
          <w:szCs w:val="24"/>
        </w:rPr>
        <w:t>由于镂空砂型的结构方便性，为了加快应力框粗杆的冷却，对镂空结构</w:t>
      </w:r>
      <w:r>
        <w:rPr>
          <w:rFonts w:hint="eastAsia" w:cs="Times New Roman" w:asciiTheme="minorEastAsia" w:hAnsiTheme="minorEastAsia"/>
          <w:kern w:val="0"/>
          <w:sz w:val="24"/>
          <w:szCs w:val="24"/>
        </w:rPr>
        <w:t>3的</w:t>
      </w:r>
      <w:r>
        <w:rPr>
          <w:rFonts w:cs="Times New Roman" w:asciiTheme="minorEastAsia" w:hAnsiTheme="minorEastAsia"/>
          <w:kern w:val="0"/>
          <w:sz w:val="24"/>
          <w:szCs w:val="24"/>
        </w:rPr>
        <w:t>应力框粗杆的壳型底部进行了吹风强制冷却，进一步显著加快了粗杆的冷却，从而显著缩小了粗杆和细杆之间的温差，有利于降低应力框的残余应力。这也说明了镂空砂型的灵巧性，使得智能铸造得以实现。</w:t>
      </w:r>
    </w:p>
    <w:p>
      <w:pPr>
        <w:spacing w:line="276"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浇注后采用对镂空砂型整体吹风冷却的方法，也显著提高了应力框的整体冷却效果，镂空砂型1和2整体吹风冷却后提高铸件冷却效果至55%左右，如表1所示。</w:t>
      </w:r>
    </w:p>
    <w:tbl>
      <w:tblPr>
        <w:tblStyle w:val="10"/>
        <w:tblW w:w="919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44"/>
        <w:gridCol w:w="45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spacing w:line="360" w:lineRule="auto"/>
              <w:jc w:val="center"/>
              <w:rPr>
                <w:rFonts w:asciiTheme="minorEastAsia" w:hAnsiTheme="minorEastAsia"/>
                <w:sz w:val="24"/>
                <w:szCs w:val="24"/>
              </w:rPr>
            </w:pPr>
            <w:r>
              <w:rPr>
                <w:sz w:val="24"/>
                <w:szCs w:val="24"/>
              </w:rPr>
              <w:drawing>
                <wp:inline distT="0" distB="0" distL="0" distR="0">
                  <wp:extent cx="2724150" cy="1912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37378" cy="1922111"/>
                          </a:xfrm>
                          <a:prstGeom prst="rect">
                            <a:avLst/>
                          </a:prstGeom>
                        </pic:spPr>
                      </pic:pic>
                    </a:graphicData>
                  </a:graphic>
                </wp:inline>
              </w:drawing>
            </w:r>
          </w:p>
        </w:tc>
        <w:tc>
          <w:tcPr>
            <w:tcW w:w="4547" w:type="dxa"/>
          </w:tcPr>
          <w:p>
            <w:pPr>
              <w:spacing w:line="360" w:lineRule="auto"/>
              <w:jc w:val="center"/>
              <w:rPr>
                <w:rFonts w:asciiTheme="minorEastAsia" w:hAnsiTheme="minorEastAsia"/>
                <w:sz w:val="24"/>
                <w:szCs w:val="24"/>
              </w:rPr>
            </w:pPr>
            <w:r>
              <w:rPr>
                <w:rFonts w:asciiTheme="minorEastAsia" w:hAnsiTheme="minorEastAsia"/>
                <w:sz w:val="24"/>
                <w:szCs w:val="24"/>
              </w:rPr>
              <w:drawing>
                <wp:inline distT="0" distB="0" distL="0" distR="0">
                  <wp:extent cx="2414905" cy="1785620"/>
                  <wp:effectExtent l="0" t="0" r="4445"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37173" cy="1802412"/>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spacing w:line="276" w:lineRule="auto"/>
              <w:jc w:val="center"/>
              <w:rPr>
                <w:rFonts w:asciiTheme="minorEastAsia" w:hAnsiTheme="minorEastAsia"/>
                <w:sz w:val="24"/>
                <w:szCs w:val="24"/>
              </w:rPr>
            </w:pPr>
            <w:r>
              <w:rPr>
                <w:rFonts w:hint="eastAsia" w:cs="Arial" w:asciiTheme="minorEastAsia" w:hAnsiTheme="minorEastAsia"/>
                <w:sz w:val="24"/>
                <w:szCs w:val="24"/>
              </w:rPr>
              <w:t>图</w:t>
            </w:r>
            <w:r>
              <w:rPr>
                <w:rFonts w:cs="Arial" w:asciiTheme="minorEastAsia" w:hAnsiTheme="minorEastAsia"/>
                <w:sz w:val="24"/>
                <w:szCs w:val="24"/>
              </w:rPr>
              <w:t>6</w:t>
            </w:r>
            <w:r>
              <w:rPr>
                <w:rFonts w:hint="eastAsia" w:cs="Arial" w:asciiTheme="minorEastAsia" w:hAnsiTheme="minorEastAsia"/>
                <w:sz w:val="24"/>
                <w:szCs w:val="24"/>
              </w:rPr>
              <w:t xml:space="preserve"> 应力框粗杆在镂空砂型1中和传统砂型中的冷却曲线对比</w:t>
            </w:r>
          </w:p>
        </w:tc>
        <w:tc>
          <w:tcPr>
            <w:tcW w:w="4547" w:type="dxa"/>
          </w:tcPr>
          <w:p>
            <w:pPr>
              <w:spacing w:line="360" w:lineRule="auto"/>
              <w:jc w:val="center"/>
              <w:rPr>
                <w:rFonts w:asciiTheme="minorEastAsia" w:hAnsiTheme="minorEastAsia"/>
                <w:sz w:val="24"/>
                <w:szCs w:val="24"/>
              </w:rPr>
            </w:pPr>
            <w:r>
              <w:rPr>
                <w:rFonts w:cs="Arial" w:asciiTheme="minorEastAsia" w:hAnsiTheme="minorEastAsia"/>
                <w:sz w:val="24"/>
                <w:szCs w:val="24"/>
              </w:rPr>
              <w:t>图7</w:t>
            </w:r>
            <w:r>
              <w:rPr>
                <w:rFonts w:hint="eastAsia" w:cs="Arial" w:asciiTheme="minorEastAsia" w:hAnsiTheme="minorEastAsia"/>
                <w:sz w:val="24"/>
                <w:szCs w:val="24"/>
              </w:rPr>
              <w:t xml:space="preserve"> 镂空砂型4冒口中空保温结构的保温效果</w:t>
            </w:r>
          </w:p>
        </w:tc>
      </w:tr>
    </w:tbl>
    <w:p>
      <w:pPr>
        <w:spacing w:line="276" w:lineRule="auto"/>
        <w:ind w:firstLine="420" w:firstLineChars="200"/>
        <w:rPr>
          <w:rFonts w:cs="Times New Roman" w:asciiTheme="minorEastAsia" w:hAnsiTheme="minorEastAsia"/>
          <w:szCs w:val="21"/>
        </w:rPr>
      </w:pPr>
    </w:p>
    <w:p>
      <w:pPr>
        <w:spacing w:line="440" w:lineRule="exact"/>
        <w:ind w:firstLine="480" w:firstLineChars="200"/>
        <w:outlineLvl w:val="0"/>
        <w:rPr>
          <w:rFonts w:ascii="宋体" w:hAnsi="宋体" w:eastAsia="宋体" w:cs="Times New Roman"/>
          <w:color w:val="000000"/>
          <w:sz w:val="24"/>
        </w:rPr>
      </w:pPr>
      <w:r>
        <w:rPr>
          <w:rFonts w:hint="eastAsia" w:ascii="宋体" w:hAnsi="宋体" w:eastAsia="宋体" w:cs="Times New Roman"/>
          <w:color w:val="000000"/>
          <w:sz w:val="24"/>
        </w:rPr>
        <w:t>2、生成车间试验论证阶段。</w:t>
      </w:r>
    </w:p>
    <w:p>
      <w:pPr>
        <w:spacing w:line="440" w:lineRule="exac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验证地点：共享装备股份有限公司</w:t>
      </w:r>
    </w:p>
    <w:p>
      <w:pPr>
        <w:spacing w:line="440" w:lineRule="exac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验证时间：</w:t>
      </w:r>
      <w:r>
        <w:rPr>
          <w:rFonts w:ascii="宋体" w:hAnsi="宋体" w:eastAsia="宋体" w:cs="宋体"/>
          <w:color w:val="000000"/>
          <w:kern w:val="0"/>
          <w:sz w:val="24"/>
        </w:rPr>
        <w:t>2019</w:t>
      </w:r>
      <w:r>
        <w:rPr>
          <w:rFonts w:hint="eastAsia" w:ascii="宋体" w:hAnsi="宋体" w:eastAsia="宋体" w:cs="宋体"/>
          <w:color w:val="000000"/>
          <w:kern w:val="0"/>
          <w:sz w:val="24"/>
        </w:rPr>
        <w:t>年</w:t>
      </w:r>
      <w:r>
        <w:rPr>
          <w:rFonts w:hint="eastAsia" w:cs="宋体" w:asciiTheme="minorEastAsia" w:hAnsiTheme="minorEastAsia"/>
          <w:color w:val="000000"/>
          <w:kern w:val="0"/>
          <w:sz w:val="24"/>
        </w:rPr>
        <w:t>5</w:t>
      </w:r>
      <w:r>
        <w:rPr>
          <w:rFonts w:hint="eastAsia" w:ascii="宋体" w:hAnsi="宋体" w:eastAsia="宋体" w:cs="宋体"/>
          <w:color w:val="000000"/>
          <w:kern w:val="0"/>
          <w:sz w:val="24"/>
        </w:rPr>
        <w:t>月至2020年</w:t>
      </w:r>
      <w:r>
        <w:rPr>
          <w:rFonts w:cs="宋体" w:asciiTheme="minorEastAsia" w:hAnsiTheme="minorEastAsia"/>
          <w:color w:val="000000"/>
          <w:kern w:val="0"/>
          <w:sz w:val="24"/>
        </w:rPr>
        <w:t>4</w:t>
      </w:r>
      <w:r>
        <w:rPr>
          <w:rFonts w:ascii="宋体" w:hAnsi="宋体" w:eastAsia="宋体" w:cs="宋体"/>
          <w:color w:val="000000"/>
          <w:kern w:val="0"/>
          <w:sz w:val="24"/>
        </w:rPr>
        <w:t>月</w:t>
      </w:r>
    </w:p>
    <w:p>
      <w:pPr>
        <w:spacing w:line="440" w:lineRule="exac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持续时间：</w:t>
      </w:r>
      <w:r>
        <w:rPr>
          <w:rFonts w:cs="宋体" w:asciiTheme="minorEastAsia" w:hAnsiTheme="minorEastAsia"/>
          <w:color w:val="000000"/>
          <w:kern w:val="0"/>
          <w:sz w:val="24"/>
        </w:rPr>
        <w:t>12</w:t>
      </w:r>
      <w:r>
        <w:rPr>
          <w:rFonts w:hint="eastAsia" w:ascii="宋体" w:hAnsi="宋体" w:eastAsia="宋体" w:cs="宋体"/>
          <w:color w:val="000000"/>
          <w:kern w:val="0"/>
          <w:sz w:val="24"/>
        </w:rPr>
        <w:t>个月</w:t>
      </w:r>
    </w:p>
    <w:p>
      <w:pPr>
        <w:spacing w:line="440" w:lineRule="exact"/>
        <w:ind w:firstLine="480" w:firstLineChars="200"/>
        <w:outlineLvl w:val="0"/>
        <w:rPr>
          <w:rFonts w:ascii="宋体" w:hAnsi="宋体"/>
          <w:sz w:val="24"/>
          <w:szCs w:val="24"/>
        </w:rPr>
      </w:pPr>
      <w:r>
        <w:rPr>
          <w:rFonts w:hint="eastAsia" w:asciiTheme="minorEastAsia" w:hAnsiTheme="minorEastAsia"/>
          <w:sz w:val="24"/>
          <w:szCs w:val="24"/>
        </w:rPr>
        <w:t>试验阶段，针对机床铸铁件的砂芯，进行了镂空设计，并应用于铸件的浇注，获得了良好质量的铸件，并且避免了采用传统砂芯造成的铸件的裂纹缺陷。</w:t>
      </w:r>
    </w:p>
    <w:p>
      <w:pPr>
        <w:jc w:val="center"/>
      </w:pPr>
    </w:p>
    <w:p>
      <w:pPr>
        <w:jc w:val="center"/>
      </w:pPr>
    </w:p>
    <w:p>
      <w:pPr>
        <w:spacing w:line="440" w:lineRule="exact"/>
        <w:ind w:firstLine="480" w:firstLineChars="200"/>
        <w:rPr>
          <w:rFonts w:ascii="宋体" w:hAnsi="宋体" w:eastAsia="宋体" w:cs="Times New Roman"/>
          <w:color w:val="000000"/>
          <w:sz w:val="24"/>
        </w:rPr>
      </w:pPr>
      <w:r>
        <w:rPr>
          <w:rFonts w:ascii="宋体" w:hAnsi="宋体" w:eastAsia="宋体" w:cs="Times New Roman"/>
          <w:color w:val="000000"/>
          <w:sz w:val="24"/>
        </w:rPr>
        <w:t>3</w:t>
      </w:r>
      <w:r>
        <w:rPr>
          <w:rFonts w:hint="eastAsia" w:ascii="宋体" w:hAnsi="宋体" w:eastAsia="宋体" w:cs="Times New Roman"/>
          <w:color w:val="000000"/>
          <w:sz w:val="24"/>
        </w:rPr>
        <w:t>、小批量试验阶段。</w:t>
      </w:r>
    </w:p>
    <w:p>
      <w:pPr>
        <w:spacing w:line="440" w:lineRule="exac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验证地点：共享装备股份有限公司</w:t>
      </w:r>
    </w:p>
    <w:p>
      <w:pPr>
        <w:spacing w:line="440" w:lineRule="exac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验证时间：2020年</w:t>
      </w:r>
      <w:r>
        <w:rPr>
          <w:rFonts w:cs="宋体" w:asciiTheme="minorEastAsia" w:hAnsiTheme="minorEastAsia"/>
          <w:color w:val="000000"/>
          <w:kern w:val="0"/>
          <w:sz w:val="24"/>
        </w:rPr>
        <w:t>4</w:t>
      </w:r>
      <w:r>
        <w:rPr>
          <w:rFonts w:ascii="宋体" w:hAnsi="宋体" w:eastAsia="宋体" w:cs="宋体"/>
          <w:color w:val="000000"/>
          <w:kern w:val="0"/>
          <w:sz w:val="24"/>
        </w:rPr>
        <w:t>月</w:t>
      </w:r>
      <w:r>
        <w:rPr>
          <w:rFonts w:hint="eastAsia" w:ascii="宋体" w:hAnsi="宋体" w:eastAsia="宋体" w:cs="宋体"/>
          <w:color w:val="000000"/>
          <w:kern w:val="0"/>
          <w:sz w:val="24"/>
        </w:rPr>
        <w:t>至202</w:t>
      </w:r>
      <w:r>
        <w:rPr>
          <w:rFonts w:ascii="宋体" w:hAnsi="宋体" w:eastAsia="宋体" w:cs="宋体"/>
          <w:color w:val="000000"/>
          <w:kern w:val="0"/>
          <w:sz w:val="24"/>
        </w:rPr>
        <w:t>1</w:t>
      </w:r>
      <w:r>
        <w:rPr>
          <w:rFonts w:hint="eastAsia" w:ascii="宋体" w:hAnsi="宋体" w:eastAsia="宋体" w:cs="宋体"/>
          <w:color w:val="000000"/>
          <w:kern w:val="0"/>
          <w:sz w:val="24"/>
        </w:rPr>
        <w:t>年</w:t>
      </w:r>
      <w:r>
        <w:rPr>
          <w:rFonts w:hint="eastAsia" w:cs="宋体" w:asciiTheme="minorEastAsia" w:hAnsiTheme="minorEastAsia"/>
          <w:color w:val="000000"/>
          <w:kern w:val="0"/>
          <w:sz w:val="24"/>
        </w:rPr>
        <w:t>2</w:t>
      </w:r>
      <w:r>
        <w:rPr>
          <w:rFonts w:ascii="宋体" w:hAnsi="宋体" w:eastAsia="宋体" w:cs="宋体"/>
          <w:color w:val="000000"/>
          <w:kern w:val="0"/>
          <w:sz w:val="24"/>
        </w:rPr>
        <w:t>月</w:t>
      </w:r>
    </w:p>
    <w:p>
      <w:pPr>
        <w:spacing w:line="440" w:lineRule="exact"/>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持续时间：</w:t>
      </w:r>
      <w:r>
        <w:rPr>
          <w:rFonts w:hint="eastAsia" w:cs="宋体" w:asciiTheme="minorEastAsia" w:hAnsiTheme="minorEastAsia"/>
          <w:color w:val="000000"/>
          <w:kern w:val="0"/>
          <w:sz w:val="24"/>
        </w:rPr>
        <w:t>1</w:t>
      </w:r>
      <w:r>
        <w:rPr>
          <w:rFonts w:cs="宋体" w:asciiTheme="minorEastAsia" w:hAnsiTheme="minorEastAsia"/>
          <w:color w:val="000000"/>
          <w:kern w:val="0"/>
          <w:sz w:val="24"/>
        </w:rPr>
        <w:t>0</w:t>
      </w:r>
      <w:r>
        <w:rPr>
          <w:rFonts w:hint="eastAsia" w:ascii="宋体" w:hAnsi="宋体" w:eastAsia="宋体" w:cs="宋体"/>
          <w:color w:val="000000"/>
          <w:kern w:val="0"/>
          <w:sz w:val="24"/>
        </w:rPr>
        <w:t>个月</w:t>
      </w:r>
    </w:p>
    <w:p>
      <w:pPr>
        <w:spacing w:line="440" w:lineRule="exact"/>
        <w:ind w:firstLine="480" w:firstLineChars="200"/>
        <w:rPr>
          <w:rFonts w:cs="Times New Roman" w:asciiTheme="minorEastAsia" w:hAnsiTheme="minorEastAsia"/>
          <w:color w:val="000000"/>
          <w:sz w:val="24"/>
        </w:rPr>
      </w:pPr>
      <w:r>
        <w:rPr>
          <w:rFonts w:hint="eastAsia" w:ascii="宋体" w:hAnsi="宋体" w:eastAsia="宋体" w:cs="宋体"/>
          <w:color w:val="000000"/>
          <w:kern w:val="0"/>
          <w:sz w:val="24"/>
        </w:rPr>
        <w:t>验证批量：</w:t>
      </w:r>
      <w:r>
        <w:rPr>
          <w:rFonts w:ascii="宋体" w:hAnsi="宋体" w:eastAsia="宋体" w:cs="宋体"/>
          <w:color w:val="000000"/>
          <w:kern w:val="0"/>
          <w:sz w:val="24"/>
        </w:rPr>
        <w:t>10</w:t>
      </w:r>
      <w:r>
        <w:rPr>
          <w:rFonts w:hint="eastAsia" w:ascii="宋体" w:hAnsi="宋体" w:eastAsia="宋体" w:cs="宋体"/>
          <w:color w:val="000000"/>
          <w:kern w:val="0"/>
          <w:sz w:val="24"/>
        </w:rPr>
        <w:t>件</w:t>
      </w:r>
    </w:p>
    <w:p>
      <w:pPr>
        <w:spacing w:before="156" w:beforeLines="50" w:after="156" w:afterLines="50" w:line="440" w:lineRule="exact"/>
        <w:ind w:firstLine="240" w:firstLineChars="100"/>
        <w:outlineLvl w:val="0"/>
        <w:rPr>
          <w:rFonts w:ascii="黑体" w:hAnsi="宋体" w:eastAsia="黑体"/>
          <w:color w:val="000000"/>
          <w:sz w:val="24"/>
          <w:szCs w:val="24"/>
        </w:rPr>
      </w:pPr>
      <w:r>
        <w:rPr>
          <w:rFonts w:hint="eastAsia" w:ascii="黑体" w:hAnsi="宋体" w:eastAsia="黑体"/>
          <w:color w:val="000000"/>
          <w:sz w:val="24"/>
          <w:szCs w:val="24"/>
        </w:rPr>
        <w:t>6、与有关的现行的方针、政策、法律、法规和强制性标准的关系；</w:t>
      </w:r>
    </w:p>
    <w:p>
      <w:pPr>
        <w:spacing w:line="440" w:lineRule="exact"/>
        <w:ind w:firstLine="420"/>
        <w:rPr>
          <w:kern w:val="24"/>
          <w:sz w:val="24"/>
          <w:szCs w:val="24"/>
        </w:rPr>
      </w:pPr>
      <w:r>
        <w:rPr>
          <w:rFonts w:hint="eastAsia"/>
          <w:kern w:val="24"/>
          <w:sz w:val="24"/>
          <w:szCs w:val="24"/>
        </w:rPr>
        <w:t>本标准</w:t>
      </w:r>
      <w:r>
        <w:rPr>
          <w:kern w:val="24"/>
          <w:sz w:val="24"/>
          <w:szCs w:val="24"/>
        </w:rPr>
        <w:t>与现行</w:t>
      </w:r>
      <w:r>
        <w:rPr>
          <w:rFonts w:hint="eastAsia"/>
          <w:kern w:val="24"/>
          <w:sz w:val="24"/>
          <w:szCs w:val="24"/>
        </w:rPr>
        <w:t>相关</w:t>
      </w:r>
      <w:r>
        <w:rPr>
          <w:kern w:val="24"/>
          <w:sz w:val="24"/>
          <w:szCs w:val="24"/>
        </w:rPr>
        <w:t>法律、法规</w:t>
      </w:r>
      <w:r>
        <w:rPr>
          <w:rFonts w:hint="eastAsia"/>
          <w:kern w:val="24"/>
          <w:sz w:val="24"/>
          <w:szCs w:val="24"/>
        </w:rPr>
        <w:t>、规章</w:t>
      </w:r>
      <w:r>
        <w:rPr>
          <w:kern w:val="24"/>
          <w:sz w:val="24"/>
          <w:szCs w:val="24"/>
        </w:rPr>
        <w:t>及相关标准等</w:t>
      </w:r>
      <w:r>
        <w:rPr>
          <w:rFonts w:hint="eastAsia"/>
          <w:kern w:val="24"/>
          <w:sz w:val="24"/>
          <w:szCs w:val="24"/>
        </w:rPr>
        <w:t>无</w:t>
      </w:r>
      <w:r>
        <w:rPr>
          <w:kern w:val="24"/>
          <w:sz w:val="24"/>
          <w:szCs w:val="24"/>
        </w:rPr>
        <w:t>冲突</w:t>
      </w:r>
      <w:r>
        <w:rPr>
          <w:rFonts w:hint="eastAsia"/>
          <w:kern w:val="24"/>
          <w:sz w:val="24"/>
          <w:szCs w:val="24"/>
        </w:rPr>
        <w:t>。根据《中华人民共和国标准化法》的要求，本标准科学、合理、先进、适用，有利于提高生产企业的技术水平和经济效益，有利于保护消费者的利益，有利于保护环境，有利于合理利用国家资源，推广科学技术成果，有利于促进对外经济技术合作和对外贸易，并符合技术上先进，经济上合理的要求，具有合法性、实用性、规范性、协调性。</w:t>
      </w:r>
    </w:p>
    <w:p>
      <w:pPr>
        <w:spacing w:before="156" w:beforeLines="50" w:after="156" w:afterLines="50" w:line="440" w:lineRule="exact"/>
        <w:ind w:firstLine="240" w:firstLineChars="100"/>
        <w:outlineLvl w:val="0"/>
        <w:rPr>
          <w:rFonts w:ascii="黑体" w:hAnsi="黑体" w:eastAsia="黑体" w:cs="Times New Roman"/>
          <w:sz w:val="24"/>
          <w:szCs w:val="24"/>
        </w:rPr>
      </w:pPr>
      <w:r>
        <w:rPr>
          <w:rFonts w:ascii="黑体" w:hAnsi="黑体" w:eastAsia="黑体" w:cs="Times New Roman"/>
          <w:sz w:val="24"/>
          <w:szCs w:val="24"/>
        </w:rPr>
        <w:t>7</w:t>
      </w:r>
      <w:r>
        <w:rPr>
          <w:rFonts w:hint="eastAsia" w:ascii="黑体" w:hAnsi="黑体" w:eastAsia="黑体" w:cs="Times New Roman"/>
          <w:sz w:val="24"/>
          <w:szCs w:val="24"/>
        </w:rPr>
        <w:t>、对征求意见及重大分歧意见的处理经过和依据</w:t>
      </w:r>
      <w:bookmarkStart w:id="2" w:name="_GoBack"/>
      <w:bookmarkEnd w:id="2"/>
    </w:p>
    <w:p>
      <w:pPr>
        <w:spacing w:before="156" w:beforeLines="50" w:after="156" w:afterLines="50" w:line="440" w:lineRule="exact"/>
        <w:ind w:firstLine="432"/>
        <w:rPr>
          <w:rFonts w:asciiTheme="minorEastAsia" w:hAnsiTheme="minorEastAsia"/>
          <w:sz w:val="24"/>
          <w:szCs w:val="24"/>
        </w:rPr>
      </w:pPr>
      <w:r>
        <w:rPr>
          <w:rFonts w:hint="eastAsia" w:asciiTheme="minorEastAsia" w:hAnsiTheme="minorEastAsia"/>
          <w:sz w:val="24"/>
          <w:szCs w:val="24"/>
        </w:rPr>
        <w:t>本标准制定过程中，无重大分歧意见。</w:t>
      </w:r>
    </w:p>
    <w:p>
      <w:pPr>
        <w:spacing w:before="156" w:beforeLines="50" w:after="156" w:afterLines="50" w:line="440" w:lineRule="exact"/>
        <w:ind w:firstLine="240" w:firstLineChars="100"/>
        <w:outlineLvl w:val="0"/>
        <w:rPr>
          <w:rFonts w:ascii="黑体" w:hAnsi="黑体" w:eastAsia="黑体" w:cs="Times New Roman"/>
          <w:sz w:val="24"/>
          <w:szCs w:val="24"/>
        </w:rPr>
      </w:pPr>
      <w:r>
        <w:rPr>
          <w:rFonts w:ascii="黑体" w:hAnsi="黑体" w:eastAsia="黑体" w:cs="Times New Roman"/>
          <w:sz w:val="24"/>
          <w:szCs w:val="24"/>
        </w:rPr>
        <w:t>8</w:t>
      </w:r>
      <w:r>
        <w:rPr>
          <w:rFonts w:hint="eastAsia" w:ascii="黑体" w:hAnsi="黑体" w:eastAsia="黑体" w:cs="Times New Roman"/>
          <w:sz w:val="24"/>
          <w:szCs w:val="24"/>
        </w:rPr>
        <w:t>、标准水平建议，预期的社会经济效果</w:t>
      </w:r>
    </w:p>
    <w:p>
      <w:pPr>
        <w:spacing w:before="156" w:beforeLines="50" w:after="156" w:afterLines="50" w:line="440" w:lineRule="exact"/>
        <w:ind w:firstLine="600" w:firstLineChars="250"/>
        <w:rPr>
          <w:rFonts w:cs="Times New Roman" w:asciiTheme="minorEastAsia" w:hAnsiTheme="minorEastAsia"/>
          <w:sz w:val="24"/>
          <w:szCs w:val="24"/>
        </w:rPr>
      </w:pPr>
      <w:r>
        <w:rPr>
          <w:rFonts w:hint="eastAsia" w:asciiTheme="minorEastAsia" w:hAnsiTheme="minorEastAsia"/>
          <w:kern w:val="24"/>
          <w:sz w:val="24"/>
          <w:szCs w:val="24"/>
        </w:rPr>
        <w:t>1</w:t>
      </w:r>
      <w:r>
        <w:rPr>
          <w:rFonts w:hint="eastAsia" w:cs="Times New Roman" w:asciiTheme="minorEastAsia" w:hAnsiTheme="minorEastAsia"/>
          <w:sz w:val="24"/>
          <w:szCs w:val="24"/>
        </w:rPr>
        <w:t>）</w:t>
      </w:r>
      <w:r>
        <w:rPr>
          <w:rFonts w:cs="Times New Roman" w:asciiTheme="minorEastAsia" w:hAnsiTheme="minorEastAsia"/>
          <w:sz w:val="24"/>
          <w:szCs w:val="24"/>
        </w:rPr>
        <w:t>标准水平建议</w:t>
      </w:r>
    </w:p>
    <w:p>
      <w:pPr>
        <w:spacing w:before="156" w:beforeLines="50" w:after="156" w:afterLines="50" w:line="440" w:lineRule="exact"/>
        <w:ind w:firstLine="432"/>
        <w:rPr>
          <w:rFonts w:asciiTheme="minorEastAsia" w:hAnsiTheme="minorEastAsia"/>
          <w:sz w:val="24"/>
          <w:szCs w:val="24"/>
        </w:rPr>
      </w:pPr>
      <w:r>
        <w:rPr>
          <w:rFonts w:hint="eastAsia" w:asciiTheme="minorEastAsia" w:hAnsiTheme="minorEastAsia"/>
          <w:sz w:val="24"/>
          <w:szCs w:val="24"/>
        </w:rPr>
        <w:t>建议本标准的性质为团体标准。</w:t>
      </w:r>
    </w:p>
    <w:p>
      <w:pPr>
        <w:spacing w:before="156" w:beforeLines="50" w:after="156" w:afterLines="50" w:line="440" w:lineRule="exact"/>
        <w:ind w:firstLine="600" w:firstLineChars="250"/>
        <w:rPr>
          <w:rFonts w:cs="Times New Roman" w:asciiTheme="minorEastAsia" w:hAnsiTheme="minorEastAsia"/>
          <w:sz w:val="24"/>
          <w:szCs w:val="24"/>
        </w:rPr>
      </w:pPr>
      <w:r>
        <w:rPr>
          <w:rFonts w:asciiTheme="minorEastAsia" w:hAnsiTheme="minorEastAsia"/>
          <w:kern w:val="24"/>
          <w:sz w:val="24"/>
          <w:szCs w:val="24"/>
        </w:rPr>
        <w:t>2</w:t>
      </w:r>
      <w:r>
        <w:rPr>
          <w:rFonts w:hint="eastAsia" w:cs="Times New Roman" w:asciiTheme="minorEastAsia" w:hAnsiTheme="minorEastAsia"/>
          <w:sz w:val="24"/>
          <w:szCs w:val="24"/>
        </w:rPr>
        <w:t>）预期的社会经济效果</w:t>
      </w:r>
    </w:p>
    <w:p>
      <w:pPr>
        <w:spacing w:before="156" w:beforeLines="50" w:after="156" w:afterLines="50"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增材制造技术为古老的铸造技术提供了新的发展机遇和新思路，尤其是为砂型设计提供了颠覆性的新思路和制备手段。砂型的镂空化是实现智能砂型的基础，是智能铸造的关键，是实现铸件铸造过程闭环控制冷却的保障。本标准围绕镂空砂型设计，明确了镂空砂型设计的目的，提出了镂空砂型设计的原则，制定了镂空砂型设计技术规范。</w:t>
      </w:r>
    </w:p>
    <w:p>
      <w:pPr>
        <w:spacing w:before="156" w:beforeLines="50" w:after="156" w:afterLines="50" w:line="44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通过标准的制定和实施，将推进智能铸造技术的发展，将推进增材制造技术的普及，为推进铸造产业结构调整与优化升级创造条件，为实现铸造智能化奠定基础，推动铸造行业的科技进步；同时将改变传统铸造的生产模式，提高生产效率和响应速度，降低生产成本，缩短铸造工艺流程，改善铸造生产作业环境，减少对环境的不利影响。</w:t>
      </w:r>
    </w:p>
    <w:p>
      <w:pPr>
        <w:spacing w:before="156" w:beforeLines="50" w:after="156" w:afterLines="50" w:line="440" w:lineRule="exact"/>
        <w:ind w:firstLine="480" w:firstLineChars="200"/>
        <w:rPr>
          <w:rFonts w:cs="Times New Roman" w:asciiTheme="minorEastAsia" w:hAnsiTheme="minorEastAsia"/>
          <w:sz w:val="24"/>
          <w:szCs w:val="24"/>
        </w:rPr>
      </w:pPr>
      <w:r>
        <w:rPr>
          <w:rFonts w:cs="Times New Roman" w:asciiTheme="minorEastAsia" w:hAnsiTheme="minorEastAsia"/>
          <w:sz w:val="24"/>
          <w:szCs w:val="24"/>
        </w:rPr>
        <w:t>通过标准的制定和实施，将促进技术创新，增强产品的国内外市场竞争力，同时为推进铸造产业结构调整与优化升级创造条件，对规范市场竞争，引导市场良性发展，加快我国快速成型铸造技术快速发展具有积极的促进作用。</w:t>
      </w:r>
    </w:p>
    <w:p>
      <w:pPr>
        <w:spacing w:before="156" w:beforeLines="50" w:after="156" w:afterLines="50" w:line="440" w:lineRule="exact"/>
        <w:ind w:firstLine="240" w:firstLineChars="100"/>
        <w:outlineLvl w:val="0"/>
        <w:rPr>
          <w:rFonts w:ascii="黑体" w:hAnsi="黑体" w:eastAsia="黑体" w:cs="Times New Roman"/>
          <w:sz w:val="24"/>
          <w:szCs w:val="24"/>
        </w:rPr>
      </w:pPr>
      <w:r>
        <w:rPr>
          <w:rFonts w:ascii="黑体" w:hAnsi="黑体" w:eastAsia="黑体" w:cs="Times New Roman"/>
          <w:sz w:val="24"/>
          <w:szCs w:val="24"/>
        </w:rPr>
        <w:t>9</w:t>
      </w:r>
      <w:r>
        <w:rPr>
          <w:rFonts w:hint="eastAsia" w:ascii="黑体" w:hAnsi="黑体" w:eastAsia="黑体" w:cs="Times New Roman"/>
          <w:sz w:val="24"/>
          <w:szCs w:val="24"/>
        </w:rPr>
        <w:t>、贯彻标准的要求和措施建议（包括组织措施、技术措施、过渡办法等内容），根据国家经济、技术政策需要和该标准涉及的产品的技术改造难度等因素提出标准的实施日期的建议</w:t>
      </w:r>
    </w:p>
    <w:p>
      <w:pPr>
        <w:spacing w:before="156" w:beforeLines="50" w:after="156" w:afterLines="50" w:line="440" w:lineRule="exact"/>
        <w:ind w:firstLine="480"/>
        <w:rPr>
          <w:rFonts w:asciiTheme="minorEastAsia" w:hAnsiTheme="minorEastAsia"/>
          <w:sz w:val="24"/>
          <w:szCs w:val="24"/>
        </w:rPr>
      </w:pPr>
      <w:r>
        <w:rPr>
          <w:rFonts w:hint="eastAsia" w:asciiTheme="minorEastAsia" w:hAnsiTheme="minorEastAsia"/>
          <w:sz w:val="24"/>
          <w:szCs w:val="24"/>
        </w:rPr>
        <w:t>在本标准发布后，将通过标准宣贯、案例演示、技术交流等方式，实现本标准的贯彻实施。一般情况下，建议本标准批准发布</w:t>
      </w:r>
      <w:r>
        <w:rPr>
          <w:rFonts w:cs="Times New Roman" w:asciiTheme="minorEastAsia" w:hAnsiTheme="minorEastAsia"/>
          <w:sz w:val="24"/>
          <w:szCs w:val="24"/>
        </w:rPr>
        <w:t>6</w:t>
      </w:r>
      <w:r>
        <w:rPr>
          <w:rFonts w:hint="eastAsia" w:asciiTheme="minorEastAsia" w:hAnsiTheme="minorEastAsia"/>
          <w:sz w:val="24"/>
          <w:szCs w:val="24"/>
        </w:rPr>
        <w:t>个月后实施。</w:t>
      </w:r>
    </w:p>
    <w:p>
      <w:pPr>
        <w:spacing w:before="156" w:beforeLines="50" w:after="156" w:afterLines="50" w:line="440" w:lineRule="exact"/>
        <w:ind w:firstLine="240" w:firstLineChars="100"/>
        <w:outlineLvl w:val="0"/>
        <w:rPr>
          <w:rFonts w:ascii="黑体" w:hAnsi="黑体" w:eastAsia="黑体" w:cs="Times New Roman"/>
          <w:sz w:val="24"/>
          <w:szCs w:val="24"/>
        </w:rPr>
      </w:pPr>
      <w:r>
        <w:rPr>
          <w:rFonts w:ascii="黑体" w:hAnsi="黑体" w:eastAsia="黑体" w:cs="Times New Roman"/>
          <w:sz w:val="24"/>
          <w:szCs w:val="24"/>
        </w:rPr>
        <w:t>10</w:t>
      </w:r>
      <w:r>
        <w:rPr>
          <w:rFonts w:hint="eastAsia" w:ascii="黑体" w:hAnsi="黑体" w:eastAsia="黑体" w:cs="Times New Roman"/>
          <w:sz w:val="24"/>
          <w:szCs w:val="24"/>
        </w:rPr>
        <w:t>、废止有关标准的建议</w:t>
      </w:r>
    </w:p>
    <w:p>
      <w:pPr>
        <w:spacing w:before="156" w:beforeLines="50" w:after="156" w:afterLines="50" w:line="440" w:lineRule="exact"/>
        <w:ind w:firstLine="600" w:firstLineChars="250"/>
        <w:rPr>
          <w:rFonts w:asciiTheme="minorEastAsia" w:hAnsiTheme="minorEastAsia"/>
          <w:kern w:val="24"/>
          <w:sz w:val="24"/>
          <w:szCs w:val="24"/>
        </w:rPr>
      </w:pPr>
      <w:r>
        <w:rPr>
          <w:rFonts w:hint="eastAsia" w:asciiTheme="minorEastAsia" w:hAnsiTheme="minorEastAsia"/>
          <w:kern w:val="24"/>
          <w:sz w:val="24"/>
          <w:szCs w:val="24"/>
        </w:rPr>
        <w:t>无。</w:t>
      </w:r>
    </w:p>
    <w:p>
      <w:pPr>
        <w:spacing w:before="156" w:beforeLines="50" w:after="156" w:afterLines="50" w:line="440" w:lineRule="exact"/>
        <w:ind w:firstLine="240" w:firstLineChars="100"/>
        <w:outlineLvl w:val="0"/>
        <w:rPr>
          <w:rFonts w:ascii="黑体" w:hAnsi="黑体" w:eastAsia="黑体" w:cs="Times New Roman"/>
          <w:sz w:val="24"/>
          <w:szCs w:val="24"/>
        </w:rPr>
      </w:pPr>
      <w:r>
        <w:rPr>
          <w:rFonts w:ascii="黑体" w:hAnsi="黑体" w:eastAsia="黑体" w:cs="Times New Roman"/>
          <w:sz w:val="24"/>
          <w:szCs w:val="24"/>
        </w:rPr>
        <w:t>11</w:t>
      </w:r>
      <w:r>
        <w:rPr>
          <w:rFonts w:hint="eastAsia" w:ascii="黑体" w:hAnsi="黑体" w:eastAsia="黑体" w:cs="Times New Roman"/>
          <w:sz w:val="24"/>
          <w:szCs w:val="24"/>
        </w:rPr>
        <w:t>、标准涉及专利情况说明（包括1、专利发布日期、专利编号、专利权人；</w:t>
      </w:r>
      <w:r>
        <w:rPr>
          <w:rFonts w:ascii="黑体" w:hAnsi="黑体" w:eastAsia="黑体" w:cs="Times New Roman"/>
          <w:sz w:val="24"/>
          <w:szCs w:val="24"/>
        </w:rPr>
        <w:t>2、专利处置情况；3、</w:t>
      </w:r>
      <w:r>
        <w:rPr>
          <w:rFonts w:ascii="黑体" w:hAnsi="黑体" w:eastAsia="黑体" w:cs="Times New Roman"/>
          <w:color w:val="FF0000"/>
          <w:sz w:val="24"/>
          <w:szCs w:val="24"/>
        </w:rPr>
        <w:t>专利使用许可申明和披露申明</w:t>
      </w:r>
      <w:r>
        <w:rPr>
          <w:rFonts w:ascii="黑体" w:hAnsi="黑体" w:eastAsia="黑体" w:cs="Times New Roman"/>
          <w:sz w:val="24"/>
          <w:szCs w:val="24"/>
        </w:rPr>
        <w:t>。）</w:t>
      </w:r>
    </w:p>
    <w:p>
      <w:pPr>
        <w:spacing w:before="156" w:beforeLines="50" w:after="156" w:afterLines="50" w:line="440" w:lineRule="exact"/>
        <w:ind w:firstLine="600" w:firstLineChars="250"/>
        <w:rPr>
          <w:rFonts w:asciiTheme="minorEastAsia" w:hAnsiTheme="minorEastAsia"/>
          <w:kern w:val="24"/>
          <w:sz w:val="24"/>
          <w:szCs w:val="24"/>
        </w:rPr>
      </w:pPr>
      <w:r>
        <w:rPr>
          <w:rFonts w:hint="eastAsia" w:asciiTheme="minorEastAsia" w:hAnsiTheme="minorEastAsia"/>
          <w:kern w:val="24"/>
          <w:sz w:val="24"/>
          <w:szCs w:val="24"/>
        </w:rPr>
        <w:t>(1)清华大学（康进武、上官浩龙、易吉豪）， 镂空铸型的3D打印方法， 授权日期2017-8-30，</w:t>
      </w:r>
      <w:r>
        <w:rPr>
          <w:rFonts w:hint="eastAsia" w:asciiTheme="minorEastAsia" w:hAnsiTheme="minorEastAsia"/>
          <w:color w:val="FF0000"/>
          <w:kern w:val="24"/>
          <w:sz w:val="24"/>
          <w:szCs w:val="24"/>
        </w:rPr>
        <w:t>发布日期：</w:t>
      </w:r>
      <w:r>
        <w:rPr>
          <w:rFonts w:hint="eastAsia" w:asciiTheme="minorEastAsia" w:hAnsiTheme="minorEastAsia"/>
          <w:kern w:val="24"/>
          <w:sz w:val="24"/>
          <w:szCs w:val="24"/>
        </w:rPr>
        <w:t>， 中国 ZL201710760388.9 (专利有效)</w:t>
      </w:r>
    </w:p>
    <w:p>
      <w:pPr>
        <w:spacing w:before="156" w:beforeLines="50" w:after="156" w:afterLines="50" w:line="440" w:lineRule="exact"/>
        <w:ind w:firstLine="600" w:firstLineChars="250"/>
        <w:rPr>
          <w:rFonts w:asciiTheme="minorEastAsia" w:hAnsiTheme="minorEastAsia"/>
          <w:kern w:val="24"/>
          <w:sz w:val="24"/>
          <w:szCs w:val="24"/>
        </w:rPr>
      </w:pPr>
      <w:r>
        <w:rPr>
          <w:rFonts w:hint="eastAsia" w:asciiTheme="minorEastAsia" w:hAnsiTheme="minorEastAsia"/>
          <w:kern w:val="24"/>
          <w:sz w:val="24"/>
          <w:szCs w:val="24"/>
        </w:rPr>
        <w:t xml:space="preserve"> (</w:t>
      </w:r>
      <w:r>
        <w:rPr>
          <w:rFonts w:asciiTheme="minorEastAsia" w:hAnsiTheme="minorEastAsia"/>
          <w:kern w:val="24"/>
          <w:sz w:val="24"/>
          <w:szCs w:val="24"/>
        </w:rPr>
        <w:t>2</w:t>
      </w:r>
      <w:r>
        <w:rPr>
          <w:rFonts w:hint="eastAsia" w:asciiTheme="minorEastAsia" w:hAnsiTheme="minorEastAsia"/>
          <w:kern w:val="24"/>
          <w:sz w:val="24"/>
          <w:szCs w:val="24"/>
        </w:rPr>
        <w:t>) 清华大学（康进武、上官浩龙; 邓承佯）， 非密实结构新铸型，授权日期2017-6-29，</w:t>
      </w:r>
      <w:r>
        <w:rPr>
          <w:rFonts w:hint="eastAsia" w:asciiTheme="minorEastAsia" w:hAnsiTheme="minorEastAsia"/>
          <w:color w:val="FF0000"/>
          <w:kern w:val="24"/>
          <w:sz w:val="24"/>
          <w:szCs w:val="24"/>
        </w:rPr>
        <w:t>发布日期：</w:t>
      </w:r>
      <w:r>
        <w:rPr>
          <w:rFonts w:hint="eastAsia" w:asciiTheme="minorEastAsia" w:hAnsiTheme="minorEastAsia"/>
          <w:kern w:val="24"/>
          <w:sz w:val="24"/>
          <w:szCs w:val="24"/>
        </w:rPr>
        <w:t>中国 ZL201510931371.6 (专利有效)</w:t>
      </w:r>
    </w:p>
    <w:p>
      <w:pPr>
        <w:spacing w:before="156" w:beforeLines="50" w:after="156" w:afterLines="50" w:line="440" w:lineRule="exact"/>
        <w:ind w:firstLine="240" w:firstLineChars="100"/>
        <w:outlineLvl w:val="0"/>
        <w:rPr>
          <w:rFonts w:ascii="黑体" w:hAnsi="黑体" w:eastAsia="黑体" w:cs="Times New Roman"/>
          <w:sz w:val="24"/>
          <w:szCs w:val="24"/>
        </w:rPr>
      </w:pPr>
      <w:r>
        <w:rPr>
          <w:rFonts w:ascii="黑体" w:hAnsi="黑体" w:eastAsia="黑体" w:cs="Times New Roman"/>
          <w:sz w:val="24"/>
          <w:szCs w:val="24"/>
        </w:rPr>
        <w:t>12</w:t>
      </w:r>
      <w:r>
        <w:rPr>
          <w:rFonts w:hint="eastAsia" w:ascii="黑体" w:hAnsi="黑体" w:eastAsia="黑体" w:cs="Times New Roman"/>
          <w:sz w:val="24"/>
          <w:szCs w:val="24"/>
        </w:rPr>
        <w:t>、重要内容的解释和其它应予说明的事项</w:t>
      </w:r>
    </w:p>
    <w:p>
      <w:pPr>
        <w:spacing w:before="156" w:beforeLines="50" w:after="156" w:afterLines="50" w:line="440" w:lineRule="exact"/>
        <w:ind w:firstLine="600" w:firstLineChars="250"/>
        <w:rPr>
          <w:rFonts w:asciiTheme="minorEastAsia" w:hAnsiTheme="minorEastAsia"/>
          <w:kern w:val="24"/>
          <w:sz w:val="24"/>
          <w:szCs w:val="24"/>
        </w:rPr>
      </w:pPr>
      <w:r>
        <w:rPr>
          <w:rFonts w:hint="eastAsia" w:asciiTheme="minorEastAsia" w:hAnsiTheme="minorEastAsia"/>
          <w:kern w:val="24"/>
          <w:sz w:val="24"/>
          <w:szCs w:val="24"/>
        </w:rPr>
        <w:t>无。</w:t>
      </w:r>
    </w:p>
    <w:p>
      <w:pPr>
        <w:spacing w:line="440" w:lineRule="exact"/>
        <w:ind w:firstLine="432"/>
        <w:jc w:val="right"/>
        <w:rPr>
          <w:rFonts w:asciiTheme="minorEastAsia" w:hAnsiTheme="minorEastAsia"/>
          <w:sz w:val="24"/>
          <w:szCs w:val="24"/>
        </w:rPr>
      </w:pPr>
      <w:r>
        <w:rPr>
          <w:rFonts w:hint="eastAsia" w:asciiTheme="minorEastAsia" w:hAnsiTheme="minorEastAsia"/>
          <w:sz w:val="24"/>
          <w:szCs w:val="24"/>
        </w:rPr>
        <w:t>《智能砂型系统  第1部分：铸铁件镂空砂型设计规范》团体标准编制工作组</w:t>
      </w:r>
    </w:p>
    <w:p>
      <w:pPr>
        <w:spacing w:line="440" w:lineRule="exact"/>
        <w:ind w:firstLine="432"/>
        <w:jc w:val="right"/>
        <w:rPr>
          <w:rFonts w:asciiTheme="minorEastAsia" w:hAnsiTheme="minorEastAsia"/>
          <w:sz w:val="24"/>
          <w:szCs w:val="24"/>
        </w:rPr>
      </w:pPr>
      <w:r>
        <w:rPr>
          <w:rFonts w:cs="Times New Roman" w:asciiTheme="minorEastAsia" w:hAnsiTheme="minorEastAsia"/>
          <w:sz w:val="24"/>
          <w:szCs w:val="24"/>
        </w:rPr>
        <w:t>20</w:t>
      </w:r>
      <w:r>
        <w:rPr>
          <w:rFonts w:hint="eastAsia" w:cs="Times New Roman" w:asciiTheme="minorEastAsia" w:hAnsiTheme="minorEastAsia"/>
          <w:sz w:val="24"/>
          <w:szCs w:val="24"/>
        </w:rPr>
        <w:t>22</w:t>
      </w:r>
      <w:r>
        <w:rPr>
          <w:rFonts w:hint="eastAsia" w:asciiTheme="minorEastAsia" w:hAnsiTheme="minorEastAsia"/>
          <w:sz w:val="24"/>
          <w:szCs w:val="24"/>
        </w:rPr>
        <w:t>年</w:t>
      </w:r>
      <w:r>
        <w:rPr>
          <w:rFonts w:hint="eastAsia" w:cs="Times New Roman" w:asciiTheme="minorEastAsia" w:hAnsiTheme="minorEastAsia"/>
          <w:sz w:val="24"/>
          <w:szCs w:val="24"/>
        </w:rPr>
        <w:t>8</w:t>
      </w:r>
      <w:r>
        <w:rPr>
          <w:rFonts w:hint="eastAsia" w:asciiTheme="minorEastAsia" w:hAnsiTheme="minorEastAsia"/>
          <w:sz w:val="24"/>
          <w:szCs w:val="24"/>
        </w:rPr>
        <w:t>月</w:t>
      </w:r>
      <w:r>
        <w:rPr>
          <w:rFonts w:hint="eastAsia" w:cs="Times New Roman" w:asciiTheme="minorEastAsia" w:hAnsiTheme="minorEastAsia"/>
          <w:sz w:val="24"/>
          <w:szCs w:val="24"/>
        </w:rPr>
        <w:t>5</w:t>
      </w:r>
      <w:r>
        <w:rPr>
          <w:rFonts w:hint="eastAsia" w:asciiTheme="minorEastAsia" w:hAnsiTheme="minorEastAsia"/>
          <w:sz w:val="24"/>
          <w:szCs w:val="24"/>
        </w:rPr>
        <w:t>日</w:t>
      </w:r>
    </w:p>
    <w:sectPr>
      <w:footerReference r:id="rId3" w:type="default"/>
      <w:pgSz w:w="11906" w:h="16838"/>
      <w:pgMar w:top="1304" w:right="1304" w:bottom="1304" w:left="1304" w:header="851"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swiss"/>
    <w:pitch w:val="default"/>
    <w:sig w:usb0="80000287" w:usb1="2ACF3C50" w:usb2="00000016" w:usb3="00000000" w:csb0="0004001F" w:csb1="00000000"/>
  </w:font>
  <w:font w:name="Malgun Gothic">
    <w:panose1 w:val="020B0503020000020004"/>
    <w:charset w:val="81"/>
    <w:family w:val="swiss"/>
    <w:pitch w:val="default"/>
    <w:sig w:usb0="9000002F" w:usb1="29D77CFB" w:usb2="00000012" w:usb3="00000000" w:csb0="0008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5629900"/>
    </w:sdtPr>
    <w:sdtContent>
      <w:sdt>
        <w:sdtPr>
          <w:id w:val="1728636285"/>
        </w:sdtPr>
        <w:sdtContent>
          <w:p>
            <w:pPr>
              <w:pStyle w:val="5"/>
              <w:jc w:val="center"/>
            </w:pP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w:t>
            </w:r>
            <w:r>
              <w:rPr>
                <w:b/>
                <w:bCs/>
                <w:sz w:val="24"/>
                <w:szCs w:val="24"/>
              </w:rPr>
              <w:fldChar w:fldCharType="begin"/>
            </w:r>
            <w:r>
              <w:rPr>
                <w:b/>
                <w:bCs/>
              </w:rPr>
              <w:instrText xml:space="preserve">NUMPAGES</w:instrText>
            </w:r>
            <w:r>
              <w:rPr>
                <w:b/>
                <w:bCs/>
                <w:sz w:val="24"/>
                <w:szCs w:val="24"/>
              </w:rPr>
              <w:fldChar w:fldCharType="separate"/>
            </w:r>
            <w:r>
              <w:rPr>
                <w:b/>
                <w:bCs/>
              </w:rPr>
              <w:t>2</w:t>
            </w:r>
            <w:r>
              <w:rPr>
                <w:b/>
                <w:bCs/>
                <w:sz w:val="24"/>
                <w:szCs w:val="24"/>
              </w:rPr>
              <w:fldChar w:fldCharType="end"/>
            </w:r>
          </w:p>
        </w:sdtContent>
      </w:sdt>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19"/>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8"/>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20"/>
      <w:suff w:val="nothing"/>
      <w:lvlText w:val="%1.%2.%3　"/>
      <w:lvlJc w:val="left"/>
      <w:pPr>
        <w:ind w:left="0" w:firstLine="0"/>
      </w:pPr>
      <w:rPr>
        <w:rFonts w:hint="eastAsia" w:ascii="黑体" w:hAnsi="Times New Roman" w:eastAsia="黑体"/>
        <w:b w:val="0"/>
        <w:i w:val="0"/>
        <w:sz w:val="21"/>
      </w:rPr>
    </w:lvl>
    <w:lvl w:ilvl="3" w:tentative="0">
      <w:start w:val="1"/>
      <w:numFmt w:val="decimal"/>
      <w:pStyle w:val="21"/>
      <w:suff w:val="nothing"/>
      <w:lvlText w:val="%1.%2.%3.%4　"/>
      <w:lvlJc w:val="left"/>
      <w:pPr>
        <w:ind w:left="5386" w:firstLine="0"/>
      </w:pPr>
      <w:rPr>
        <w:rFonts w:hint="eastAsia" w:ascii="黑体" w:hAnsi="Times New Roman" w:eastAsia="黑体"/>
        <w:b w:val="0"/>
        <w:i w:val="0"/>
        <w:sz w:val="21"/>
      </w:rPr>
    </w:lvl>
    <w:lvl w:ilvl="4" w:tentative="0">
      <w:start w:val="1"/>
      <w:numFmt w:val="decimal"/>
      <w:pStyle w:val="22"/>
      <w:suff w:val="nothing"/>
      <w:lvlText w:val="%1.%2.%3.%4.%5　"/>
      <w:lvlJc w:val="left"/>
      <w:pPr>
        <w:ind w:left="0" w:firstLine="0"/>
      </w:pPr>
      <w:rPr>
        <w:rFonts w:hint="eastAsia" w:ascii="黑体" w:hAnsi="Times New Roman" w:eastAsia="黑体"/>
        <w:b w:val="0"/>
        <w:i w:val="0"/>
        <w:sz w:val="21"/>
      </w:rPr>
    </w:lvl>
    <w:lvl w:ilvl="5" w:tentative="0">
      <w:start w:val="1"/>
      <w:numFmt w:val="decimal"/>
      <w:pStyle w:val="23"/>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25B71D74"/>
    <w:multiLevelType w:val="multilevel"/>
    <w:tmpl w:val="25B71D74"/>
    <w:lvl w:ilvl="0" w:tentative="0">
      <w:start w:val="1"/>
      <w:numFmt w:val="decimal"/>
      <w:pStyle w:val="24"/>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2">
    <w:nsid w:val="646260FA"/>
    <w:multiLevelType w:val="multilevel"/>
    <w:tmpl w:val="646260FA"/>
    <w:lvl w:ilvl="0" w:tentative="0">
      <w:start w:val="1"/>
      <w:numFmt w:val="decimal"/>
      <w:pStyle w:val="25"/>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BmNGI5YzhhMmZkYjM2ZDVhMzAyNWViMTkzMDQ2ZWIifQ=="/>
  </w:docVars>
  <w:rsids>
    <w:rsidRoot w:val="00B8263E"/>
    <w:rsid w:val="000031DF"/>
    <w:rsid w:val="00003516"/>
    <w:rsid w:val="000036CD"/>
    <w:rsid w:val="00004596"/>
    <w:rsid w:val="00004622"/>
    <w:rsid w:val="000055F3"/>
    <w:rsid w:val="00006560"/>
    <w:rsid w:val="0000761A"/>
    <w:rsid w:val="0000780B"/>
    <w:rsid w:val="0001494A"/>
    <w:rsid w:val="000167C4"/>
    <w:rsid w:val="0002162C"/>
    <w:rsid w:val="00023B56"/>
    <w:rsid w:val="000251F9"/>
    <w:rsid w:val="000329B0"/>
    <w:rsid w:val="000333DA"/>
    <w:rsid w:val="00036832"/>
    <w:rsid w:val="00037411"/>
    <w:rsid w:val="00040973"/>
    <w:rsid w:val="000412E9"/>
    <w:rsid w:val="00044481"/>
    <w:rsid w:val="00046338"/>
    <w:rsid w:val="0004651D"/>
    <w:rsid w:val="00050059"/>
    <w:rsid w:val="00051234"/>
    <w:rsid w:val="00053960"/>
    <w:rsid w:val="000547FC"/>
    <w:rsid w:val="0005499A"/>
    <w:rsid w:val="00055911"/>
    <w:rsid w:val="00057049"/>
    <w:rsid w:val="00060430"/>
    <w:rsid w:val="00060DB0"/>
    <w:rsid w:val="00062E88"/>
    <w:rsid w:val="0006655D"/>
    <w:rsid w:val="00066B36"/>
    <w:rsid w:val="000676AE"/>
    <w:rsid w:val="000721E1"/>
    <w:rsid w:val="00072BA3"/>
    <w:rsid w:val="00073134"/>
    <w:rsid w:val="00076399"/>
    <w:rsid w:val="00076435"/>
    <w:rsid w:val="000800BE"/>
    <w:rsid w:val="00081E84"/>
    <w:rsid w:val="0008503F"/>
    <w:rsid w:val="00091AB1"/>
    <w:rsid w:val="000923EA"/>
    <w:rsid w:val="00097A3A"/>
    <w:rsid w:val="000A0260"/>
    <w:rsid w:val="000A3A77"/>
    <w:rsid w:val="000A4ABC"/>
    <w:rsid w:val="000A4C9B"/>
    <w:rsid w:val="000A6CF9"/>
    <w:rsid w:val="000A7524"/>
    <w:rsid w:val="000B1839"/>
    <w:rsid w:val="000B1AFE"/>
    <w:rsid w:val="000B24D4"/>
    <w:rsid w:val="000B2F36"/>
    <w:rsid w:val="000B5BCE"/>
    <w:rsid w:val="000B67C4"/>
    <w:rsid w:val="000B7298"/>
    <w:rsid w:val="000C1EEE"/>
    <w:rsid w:val="000C1F87"/>
    <w:rsid w:val="000C3405"/>
    <w:rsid w:val="000C3BBF"/>
    <w:rsid w:val="000C4964"/>
    <w:rsid w:val="000C6CEA"/>
    <w:rsid w:val="000D0764"/>
    <w:rsid w:val="000D0F74"/>
    <w:rsid w:val="000E0097"/>
    <w:rsid w:val="000E3AAA"/>
    <w:rsid w:val="000E55F4"/>
    <w:rsid w:val="000E5D72"/>
    <w:rsid w:val="000E61C1"/>
    <w:rsid w:val="000E692A"/>
    <w:rsid w:val="000F031A"/>
    <w:rsid w:val="000F0D60"/>
    <w:rsid w:val="000F45D8"/>
    <w:rsid w:val="000F4785"/>
    <w:rsid w:val="000F60A5"/>
    <w:rsid w:val="000F6524"/>
    <w:rsid w:val="000F6756"/>
    <w:rsid w:val="000F6C51"/>
    <w:rsid w:val="000F6F0F"/>
    <w:rsid w:val="00101E22"/>
    <w:rsid w:val="00102A7E"/>
    <w:rsid w:val="00105286"/>
    <w:rsid w:val="00110046"/>
    <w:rsid w:val="00110845"/>
    <w:rsid w:val="00112D33"/>
    <w:rsid w:val="001142C8"/>
    <w:rsid w:val="00115C88"/>
    <w:rsid w:val="00115F2A"/>
    <w:rsid w:val="00116E95"/>
    <w:rsid w:val="00117771"/>
    <w:rsid w:val="00121C70"/>
    <w:rsid w:val="001243EE"/>
    <w:rsid w:val="00125036"/>
    <w:rsid w:val="00126AAE"/>
    <w:rsid w:val="00126AC0"/>
    <w:rsid w:val="00130EF6"/>
    <w:rsid w:val="00131847"/>
    <w:rsid w:val="001329FD"/>
    <w:rsid w:val="001341CF"/>
    <w:rsid w:val="0013495C"/>
    <w:rsid w:val="00134CB2"/>
    <w:rsid w:val="0014013B"/>
    <w:rsid w:val="00140F39"/>
    <w:rsid w:val="0014354D"/>
    <w:rsid w:val="00143C90"/>
    <w:rsid w:val="00145592"/>
    <w:rsid w:val="001457BA"/>
    <w:rsid w:val="00150BAF"/>
    <w:rsid w:val="0015277D"/>
    <w:rsid w:val="001535E5"/>
    <w:rsid w:val="00155F12"/>
    <w:rsid w:val="00157D89"/>
    <w:rsid w:val="00161770"/>
    <w:rsid w:val="00161938"/>
    <w:rsid w:val="001631D4"/>
    <w:rsid w:val="0016456D"/>
    <w:rsid w:val="00164966"/>
    <w:rsid w:val="00164A86"/>
    <w:rsid w:val="00164C3C"/>
    <w:rsid w:val="0016553D"/>
    <w:rsid w:val="00165825"/>
    <w:rsid w:val="00165C33"/>
    <w:rsid w:val="00165F5D"/>
    <w:rsid w:val="0016771F"/>
    <w:rsid w:val="00170639"/>
    <w:rsid w:val="00172ECC"/>
    <w:rsid w:val="00173016"/>
    <w:rsid w:val="00176724"/>
    <w:rsid w:val="00180684"/>
    <w:rsid w:val="00183E63"/>
    <w:rsid w:val="0018445F"/>
    <w:rsid w:val="0018453C"/>
    <w:rsid w:val="00186075"/>
    <w:rsid w:val="001865A1"/>
    <w:rsid w:val="00187924"/>
    <w:rsid w:val="00190731"/>
    <w:rsid w:val="001910E5"/>
    <w:rsid w:val="001930D0"/>
    <w:rsid w:val="00193823"/>
    <w:rsid w:val="00193AA7"/>
    <w:rsid w:val="00194FE3"/>
    <w:rsid w:val="00196AD0"/>
    <w:rsid w:val="00196CD1"/>
    <w:rsid w:val="00197951"/>
    <w:rsid w:val="001A01B8"/>
    <w:rsid w:val="001A0E95"/>
    <w:rsid w:val="001A1543"/>
    <w:rsid w:val="001A3B5E"/>
    <w:rsid w:val="001A53C1"/>
    <w:rsid w:val="001A7380"/>
    <w:rsid w:val="001B1D61"/>
    <w:rsid w:val="001B281E"/>
    <w:rsid w:val="001B3489"/>
    <w:rsid w:val="001B3F5A"/>
    <w:rsid w:val="001C5880"/>
    <w:rsid w:val="001C5C38"/>
    <w:rsid w:val="001D0050"/>
    <w:rsid w:val="001D2933"/>
    <w:rsid w:val="001D4039"/>
    <w:rsid w:val="001D4B84"/>
    <w:rsid w:val="001D7EC1"/>
    <w:rsid w:val="001D7EDB"/>
    <w:rsid w:val="001D7F28"/>
    <w:rsid w:val="001E0075"/>
    <w:rsid w:val="001E054C"/>
    <w:rsid w:val="001E1B1C"/>
    <w:rsid w:val="001E1EBD"/>
    <w:rsid w:val="001E214C"/>
    <w:rsid w:val="001E318E"/>
    <w:rsid w:val="001E585E"/>
    <w:rsid w:val="001F05D1"/>
    <w:rsid w:val="001F1286"/>
    <w:rsid w:val="001F1D62"/>
    <w:rsid w:val="001F22BE"/>
    <w:rsid w:val="001F25C3"/>
    <w:rsid w:val="001F29FD"/>
    <w:rsid w:val="001F2EA7"/>
    <w:rsid w:val="001F36D9"/>
    <w:rsid w:val="001F4925"/>
    <w:rsid w:val="00200DC4"/>
    <w:rsid w:val="0020110E"/>
    <w:rsid w:val="002016A5"/>
    <w:rsid w:val="00201F08"/>
    <w:rsid w:val="00206209"/>
    <w:rsid w:val="0020665D"/>
    <w:rsid w:val="00207DCE"/>
    <w:rsid w:val="0021055E"/>
    <w:rsid w:val="00212CF2"/>
    <w:rsid w:val="002130B3"/>
    <w:rsid w:val="00213255"/>
    <w:rsid w:val="00220EA5"/>
    <w:rsid w:val="0022140F"/>
    <w:rsid w:val="0022291C"/>
    <w:rsid w:val="002248A6"/>
    <w:rsid w:val="00225C6E"/>
    <w:rsid w:val="002308F7"/>
    <w:rsid w:val="00231163"/>
    <w:rsid w:val="002318D2"/>
    <w:rsid w:val="002319AD"/>
    <w:rsid w:val="0023390D"/>
    <w:rsid w:val="00235EB1"/>
    <w:rsid w:val="00240015"/>
    <w:rsid w:val="00240A86"/>
    <w:rsid w:val="00240C0F"/>
    <w:rsid w:val="00242CD6"/>
    <w:rsid w:val="00244499"/>
    <w:rsid w:val="002460AB"/>
    <w:rsid w:val="00246781"/>
    <w:rsid w:val="00247C19"/>
    <w:rsid w:val="0025039A"/>
    <w:rsid w:val="00250788"/>
    <w:rsid w:val="00251DEB"/>
    <w:rsid w:val="002542AA"/>
    <w:rsid w:val="002566E3"/>
    <w:rsid w:val="002574B2"/>
    <w:rsid w:val="00260CB0"/>
    <w:rsid w:val="00260DB6"/>
    <w:rsid w:val="00261C5C"/>
    <w:rsid w:val="002624D6"/>
    <w:rsid w:val="002653CC"/>
    <w:rsid w:val="0026600C"/>
    <w:rsid w:val="00266BEA"/>
    <w:rsid w:val="002714EA"/>
    <w:rsid w:val="00271EFF"/>
    <w:rsid w:val="00272E91"/>
    <w:rsid w:val="0027331D"/>
    <w:rsid w:val="00274792"/>
    <w:rsid w:val="0027480D"/>
    <w:rsid w:val="0027616E"/>
    <w:rsid w:val="00276D74"/>
    <w:rsid w:val="002774E5"/>
    <w:rsid w:val="00277F4A"/>
    <w:rsid w:val="00283C98"/>
    <w:rsid w:val="0028449A"/>
    <w:rsid w:val="00284947"/>
    <w:rsid w:val="00284AD9"/>
    <w:rsid w:val="00285659"/>
    <w:rsid w:val="00285BA4"/>
    <w:rsid w:val="00286C50"/>
    <w:rsid w:val="00287825"/>
    <w:rsid w:val="00287A9F"/>
    <w:rsid w:val="0029354C"/>
    <w:rsid w:val="0029572E"/>
    <w:rsid w:val="00297113"/>
    <w:rsid w:val="00297698"/>
    <w:rsid w:val="00297AAC"/>
    <w:rsid w:val="002A008F"/>
    <w:rsid w:val="002A0702"/>
    <w:rsid w:val="002A15B9"/>
    <w:rsid w:val="002A15D8"/>
    <w:rsid w:val="002A1932"/>
    <w:rsid w:val="002A24C8"/>
    <w:rsid w:val="002A28B8"/>
    <w:rsid w:val="002A2F86"/>
    <w:rsid w:val="002A4A55"/>
    <w:rsid w:val="002A747F"/>
    <w:rsid w:val="002B107E"/>
    <w:rsid w:val="002B19FC"/>
    <w:rsid w:val="002B1E4C"/>
    <w:rsid w:val="002B2E3A"/>
    <w:rsid w:val="002B420D"/>
    <w:rsid w:val="002B70AB"/>
    <w:rsid w:val="002B724B"/>
    <w:rsid w:val="002C06C3"/>
    <w:rsid w:val="002C0CFB"/>
    <w:rsid w:val="002C0E18"/>
    <w:rsid w:val="002C35DE"/>
    <w:rsid w:val="002C3A99"/>
    <w:rsid w:val="002C428E"/>
    <w:rsid w:val="002C53C8"/>
    <w:rsid w:val="002C540D"/>
    <w:rsid w:val="002C5EB1"/>
    <w:rsid w:val="002C6F00"/>
    <w:rsid w:val="002D0EDF"/>
    <w:rsid w:val="002D1DE3"/>
    <w:rsid w:val="002D2108"/>
    <w:rsid w:val="002D3070"/>
    <w:rsid w:val="002D380C"/>
    <w:rsid w:val="002D385E"/>
    <w:rsid w:val="002D433A"/>
    <w:rsid w:val="002D7B54"/>
    <w:rsid w:val="002D7BC9"/>
    <w:rsid w:val="002E0E87"/>
    <w:rsid w:val="002E15FA"/>
    <w:rsid w:val="002E379F"/>
    <w:rsid w:val="002E3D80"/>
    <w:rsid w:val="002E4096"/>
    <w:rsid w:val="002E46BC"/>
    <w:rsid w:val="002E6C02"/>
    <w:rsid w:val="002E7A3E"/>
    <w:rsid w:val="002F055D"/>
    <w:rsid w:val="002F1C1D"/>
    <w:rsid w:val="002F255E"/>
    <w:rsid w:val="002F4DD3"/>
    <w:rsid w:val="002F77B1"/>
    <w:rsid w:val="002F7C3E"/>
    <w:rsid w:val="003004F3"/>
    <w:rsid w:val="003025C7"/>
    <w:rsid w:val="0030441F"/>
    <w:rsid w:val="00304420"/>
    <w:rsid w:val="003053E1"/>
    <w:rsid w:val="00306283"/>
    <w:rsid w:val="00306344"/>
    <w:rsid w:val="003068BC"/>
    <w:rsid w:val="003074AF"/>
    <w:rsid w:val="003074F0"/>
    <w:rsid w:val="003078AB"/>
    <w:rsid w:val="00310258"/>
    <w:rsid w:val="0031060C"/>
    <w:rsid w:val="003122E7"/>
    <w:rsid w:val="00312BD6"/>
    <w:rsid w:val="00313318"/>
    <w:rsid w:val="00313692"/>
    <w:rsid w:val="0031453D"/>
    <w:rsid w:val="00317948"/>
    <w:rsid w:val="00320C1C"/>
    <w:rsid w:val="003212ED"/>
    <w:rsid w:val="00323904"/>
    <w:rsid w:val="00323C38"/>
    <w:rsid w:val="00323EF5"/>
    <w:rsid w:val="0032433E"/>
    <w:rsid w:val="0032543A"/>
    <w:rsid w:val="003260B3"/>
    <w:rsid w:val="00326B44"/>
    <w:rsid w:val="00330FAC"/>
    <w:rsid w:val="00333A0F"/>
    <w:rsid w:val="00334049"/>
    <w:rsid w:val="00335AAE"/>
    <w:rsid w:val="0034006D"/>
    <w:rsid w:val="00340EC2"/>
    <w:rsid w:val="00341FA1"/>
    <w:rsid w:val="003433CE"/>
    <w:rsid w:val="00344668"/>
    <w:rsid w:val="003449A1"/>
    <w:rsid w:val="00344B16"/>
    <w:rsid w:val="003464B2"/>
    <w:rsid w:val="003509A7"/>
    <w:rsid w:val="00352C1B"/>
    <w:rsid w:val="00353322"/>
    <w:rsid w:val="0035553D"/>
    <w:rsid w:val="0035599C"/>
    <w:rsid w:val="00355EDA"/>
    <w:rsid w:val="00355FC2"/>
    <w:rsid w:val="00356323"/>
    <w:rsid w:val="00357BD2"/>
    <w:rsid w:val="00361556"/>
    <w:rsid w:val="00361642"/>
    <w:rsid w:val="003626AB"/>
    <w:rsid w:val="00362A5A"/>
    <w:rsid w:val="00364565"/>
    <w:rsid w:val="0036477D"/>
    <w:rsid w:val="00371EB1"/>
    <w:rsid w:val="00373740"/>
    <w:rsid w:val="0037387F"/>
    <w:rsid w:val="00373CCB"/>
    <w:rsid w:val="00373D35"/>
    <w:rsid w:val="003814A7"/>
    <w:rsid w:val="003847F0"/>
    <w:rsid w:val="00384FB8"/>
    <w:rsid w:val="00387092"/>
    <w:rsid w:val="00387333"/>
    <w:rsid w:val="0038784E"/>
    <w:rsid w:val="00394318"/>
    <w:rsid w:val="00394B9C"/>
    <w:rsid w:val="003A342B"/>
    <w:rsid w:val="003A4D5E"/>
    <w:rsid w:val="003A635B"/>
    <w:rsid w:val="003A7D1D"/>
    <w:rsid w:val="003B05AB"/>
    <w:rsid w:val="003B1C44"/>
    <w:rsid w:val="003B21EE"/>
    <w:rsid w:val="003B2E3C"/>
    <w:rsid w:val="003B77C5"/>
    <w:rsid w:val="003C2F0D"/>
    <w:rsid w:val="003C43FA"/>
    <w:rsid w:val="003C4E08"/>
    <w:rsid w:val="003C4E44"/>
    <w:rsid w:val="003D158C"/>
    <w:rsid w:val="003D20B9"/>
    <w:rsid w:val="003D27B0"/>
    <w:rsid w:val="003D3FB4"/>
    <w:rsid w:val="003D4ACA"/>
    <w:rsid w:val="003E04FE"/>
    <w:rsid w:val="003E477C"/>
    <w:rsid w:val="003E4A07"/>
    <w:rsid w:val="003E50AB"/>
    <w:rsid w:val="003E5EF9"/>
    <w:rsid w:val="003F0B03"/>
    <w:rsid w:val="003F28F0"/>
    <w:rsid w:val="003F2C90"/>
    <w:rsid w:val="003F364E"/>
    <w:rsid w:val="003F6B94"/>
    <w:rsid w:val="00400F87"/>
    <w:rsid w:val="00401E58"/>
    <w:rsid w:val="0040450C"/>
    <w:rsid w:val="0040579B"/>
    <w:rsid w:val="0040631A"/>
    <w:rsid w:val="004105F5"/>
    <w:rsid w:val="004217B5"/>
    <w:rsid w:val="00422A82"/>
    <w:rsid w:val="00422EE7"/>
    <w:rsid w:val="004235F1"/>
    <w:rsid w:val="004241B8"/>
    <w:rsid w:val="00424868"/>
    <w:rsid w:val="00424AFB"/>
    <w:rsid w:val="004269F2"/>
    <w:rsid w:val="004275FC"/>
    <w:rsid w:val="004324D7"/>
    <w:rsid w:val="00432E71"/>
    <w:rsid w:val="00436733"/>
    <w:rsid w:val="00441C46"/>
    <w:rsid w:val="00442125"/>
    <w:rsid w:val="00443E5B"/>
    <w:rsid w:val="00445AC3"/>
    <w:rsid w:val="0044670E"/>
    <w:rsid w:val="00447774"/>
    <w:rsid w:val="004505E9"/>
    <w:rsid w:val="0045192B"/>
    <w:rsid w:val="0045223C"/>
    <w:rsid w:val="004522D8"/>
    <w:rsid w:val="00452863"/>
    <w:rsid w:val="004539E3"/>
    <w:rsid w:val="00454E43"/>
    <w:rsid w:val="00455AB3"/>
    <w:rsid w:val="004619BF"/>
    <w:rsid w:val="00462FA0"/>
    <w:rsid w:val="004634C6"/>
    <w:rsid w:val="004655BC"/>
    <w:rsid w:val="0046629B"/>
    <w:rsid w:val="004677B9"/>
    <w:rsid w:val="0047052A"/>
    <w:rsid w:val="00473EC8"/>
    <w:rsid w:val="00474E63"/>
    <w:rsid w:val="004759F2"/>
    <w:rsid w:val="00475E92"/>
    <w:rsid w:val="00480A1F"/>
    <w:rsid w:val="004819C5"/>
    <w:rsid w:val="00481CFE"/>
    <w:rsid w:val="00481F61"/>
    <w:rsid w:val="00482483"/>
    <w:rsid w:val="0048283C"/>
    <w:rsid w:val="00484C14"/>
    <w:rsid w:val="00484E7E"/>
    <w:rsid w:val="00485F23"/>
    <w:rsid w:val="0048733C"/>
    <w:rsid w:val="00493891"/>
    <w:rsid w:val="0049555C"/>
    <w:rsid w:val="0049635E"/>
    <w:rsid w:val="004963F6"/>
    <w:rsid w:val="004A018A"/>
    <w:rsid w:val="004A091B"/>
    <w:rsid w:val="004A0CAD"/>
    <w:rsid w:val="004A3DA9"/>
    <w:rsid w:val="004A3EB3"/>
    <w:rsid w:val="004A47C8"/>
    <w:rsid w:val="004A697B"/>
    <w:rsid w:val="004B5B2C"/>
    <w:rsid w:val="004B627A"/>
    <w:rsid w:val="004B77CB"/>
    <w:rsid w:val="004C06EA"/>
    <w:rsid w:val="004C0D13"/>
    <w:rsid w:val="004C19C8"/>
    <w:rsid w:val="004C1E2B"/>
    <w:rsid w:val="004C510C"/>
    <w:rsid w:val="004C52FC"/>
    <w:rsid w:val="004C5980"/>
    <w:rsid w:val="004C59DA"/>
    <w:rsid w:val="004C7840"/>
    <w:rsid w:val="004D128C"/>
    <w:rsid w:val="004D22E4"/>
    <w:rsid w:val="004D27BE"/>
    <w:rsid w:val="004D2A5C"/>
    <w:rsid w:val="004D319A"/>
    <w:rsid w:val="004D350D"/>
    <w:rsid w:val="004D4C94"/>
    <w:rsid w:val="004D7618"/>
    <w:rsid w:val="004D7CC7"/>
    <w:rsid w:val="004E01A7"/>
    <w:rsid w:val="004E1355"/>
    <w:rsid w:val="004E194D"/>
    <w:rsid w:val="004E5576"/>
    <w:rsid w:val="004E5767"/>
    <w:rsid w:val="004E6360"/>
    <w:rsid w:val="004E6501"/>
    <w:rsid w:val="004E6974"/>
    <w:rsid w:val="004F0711"/>
    <w:rsid w:val="004F08F8"/>
    <w:rsid w:val="004F2176"/>
    <w:rsid w:val="004F36FF"/>
    <w:rsid w:val="004F4420"/>
    <w:rsid w:val="004F65D2"/>
    <w:rsid w:val="004F75C1"/>
    <w:rsid w:val="00500281"/>
    <w:rsid w:val="00500CE3"/>
    <w:rsid w:val="0050115C"/>
    <w:rsid w:val="0050153F"/>
    <w:rsid w:val="0050362B"/>
    <w:rsid w:val="00504D00"/>
    <w:rsid w:val="00507653"/>
    <w:rsid w:val="00507830"/>
    <w:rsid w:val="0051099A"/>
    <w:rsid w:val="00511039"/>
    <w:rsid w:val="00511590"/>
    <w:rsid w:val="00514E93"/>
    <w:rsid w:val="00515683"/>
    <w:rsid w:val="0051666E"/>
    <w:rsid w:val="005210D9"/>
    <w:rsid w:val="005214A2"/>
    <w:rsid w:val="005256FA"/>
    <w:rsid w:val="005303A8"/>
    <w:rsid w:val="0053064F"/>
    <w:rsid w:val="005309E4"/>
    <w:rsid w:val="00530A4C"/>
    <w:rsid w:val="005315C6"/>
    <w:rsid w:val="005357C4"/>
    <w:rsid w:val="00537B3C"/>
    <w:rsid w:val="00542757"/>
    <w:rsid w:val="00542F89"/>
    <w:rsid w:val="0054351D"/>
    <w:rsid w:val="0054468F"/>
    <w:rsid w:val="00550983"/>
    <w:rsid w:val="00551F1C"/>
    <w:rsid w:val="00552539"/>
    <w:rsid w:val="005530EE"/>
    <w:rsid w:val="00553C82"/>
    <w:rsid w:val="00556764"/>
    <w:rsid w:val="00560021"/>
    <w:rsid w:val="00561E0E"/>
    <w:rsid w:val="00562B2B"/>
    <w:rsid w:val="00563562"/>
    <w:rsid w:val="00563838"/>
    <w:rsid w:val="005642C8"/>
    <w:rsid w:val="00565BDF"/>
    <w:rsid w:val="00566254"/>
    <w:rsid w:val="00567CEB"/>
    <w:rsid w:val="005703A1"/>
    <w:rsid w:val="00570D14"/>
    <w:rsid w:val="00571CE5"/>
    <w:rsid w:val="00572C4F"/>
    <w:rsid w:val="005756BE"/>
    <w:rsid w:val="00576164"/>
    <w:rsid w:val="00576664"/>
    <w:rsid w:val="00576F55"/>
    <w:rsid w:val="00577B0A"/>
    <w:rsid w:val="00581005"/>
    <w:rsid w:val="0058138F"/>
    <w:rsid w:val="00582A01"/>
    <w:rsid w:val="00585C60"/>
    <w:rsid w:val="005865EE"/>
    <w:rsid w:val="00586DE4"/>
    <w:rsid w:val="00587054"/>
    <w:rsid w:val="0058761F"/>
    <w:rsid w:val="00587FB3"/>
    <w:rsid w:val="00591D35"/>
    <w:rsid w:val="005924E5"/>
    <w:rsid w:val="005930BA"/>
    <w:rsid w:val="00593426"/>
    <w:rsid w:val="005945F5"/>
    <w:rsid w:val="00594E7D"/>
    <w:rsid w:val="005952D1"/>
    <w:rsid w:val="005958C4"/>
    <w:rsid w:val="005974DD"/>
    <w:rsid w:val="00597C60"/>
    <w:rsid w:val="00597DAA"/>
    <w:rsid w:val="005A0A53"/>
    <w:rsid w:val="005A1C61"/>
    <w:rsid w:val="005A297F"/>
    <w:rsid w:val="005A3F7C"/>
    <w:rsid w:val="005A53DC"/>
    <w:rsid w:val="005A6CB0"/>
    <w:rsid w:val="005B0EF5"/>
    <w:rsid w:val="005B1816"/>
    <w:rsid w:val="005B181E"/>
    <w:rsid w:val="005B51BE"/>
    <w:rsid w:val="005B5427"/>
    <w:rsid w:val="005B558C"/>
    <w:rsid w:val="005B55B6"/>
    <w:rsid w:val="005B5AE6"/>
    <w:rsid w:val="005B5C59"/>
    <w:rsid w:val="005B7D91"/>
    <w:rsid w:val="005C41CF"/>
    <w:rsid w:val="005C71AE"/>
    <w:rsid w:val="005D126E"/>
    <w:rsid w:val="005D1362"/>
    <w:rsid w:val="005D1881"/>
    <w:rsid w:val="005D27DF"/>
    <w:rsid w:val="005D2F6C"/>
    <w:rsid w:val="005D5361"/>
    <w:rsid w:val="005D6FC0"/>
    <w:rsid w:val="005D7DCC"/>
    <w:rsid w:val="005E26D8"/>
    <w:rsid w:val="005E50C2"/>
    <w:rsid w:val="005E55ED"/>
    <w:rsid w:val="005E5DC1"/>
    <w:rsid w:val="005E687C"/>
    <w:rsid w:val="005E79E3"/>
    <w:rsid w:val="005E7DC8"/>
    <w:rsid w:val="005F1480"/>
    <w:rsid w:val="005F27FC"/>
    <w:rsid w:val="005F3324"/>
    <w:rsid w:val="005F395F"/>
    <w:rsid w:val="005F3BDB"/>
    <w:rsid w:val="005F5D76"/>
    <w:rsid w:val="005F6A5C"/>
    <w:rsid w:val="006045BE"/>
    <w:rsid w:val="00604C1D"/>
    <w:rsid w:val="00606088"/>
    <w:rsid w:val="0060717F"/>
    <w:rsid w:val="00610018"/>
    <w:rsid w:val="0061042B"/>
    <w:rsid w:val="0061163D"/>
    <w:rsid w:val="00611CA5"/>
    <w:rsid w:val="00613C48"/>
    <w:rsid w:val="00614688"/>
    <w:rsid w:val="006155EB"/>
    <w:rsid w:val="0061594E"/>
    <w:rsid w:val="00615EB9"/>
    <w:rsid w:val="00616D06"/>
    <w:rsid w:val="0061739C"/>
    <w:rsid w:val="00620BCE"/>
    <w:rsid w:val="00621E54"/>
    <w:rsid w:val="00626A73"/>
    <w:rsid w:val="006277B1"/>
    <w:rsid w:val="006300F0"/>
    <w:rsid w:val="00631904"/>
    <w:rsid w:val="00632790"/>
    <w:rsid w:val="00643120"/>
    <w:rsid w:val="0064323B"/>
    <w:rsid w:val="00644416"/>
    <w:rsid w:val="00644598"/>
    <w:rsid w:val="00645651"/>
    <w:rsid w:val="006457A1"/>
    <w:rsid w:val="0064634E"/>
    <w:rsid w:val="006464F2"/>
    <w:rsid w:val="00651388"/>
    <w:rsid w:val="0065168A"/>
    <w:rsid w:val="00651CB4"/>
    <w:rsid w:val="00652E44"/>
    <w:rsid w:val="00652EC1"/>
    <w:rsid w:val="00653CAC"/>
    <w:rsid w:val="0065469B"/>
    <w:rsid w:val="006552E6"/>
    <w:rsid w:val="00655307"/>
    <w:rsid w:val="00655E45"/>
    <w:rsid w:val="006567DD"/>
    <w:rsid w:val="006574E3"/>
    <w:rsid w:val="00657DC4"/>
    <w:rsid w:val="006612D8"/>
    <w:rsid w:val="00661533"/>
    <w:rsid w:val="00661FBF"/>
    <w:rsid w:val="00662F24"/>
    <w:rsid w:val="00663D4E"/>
    <w:rsid w:val="00664731"/>
    <w:rsid w:val="00666601"/>
    <w:rsid w:val="006677D8"/>
    <w:rsid w:val="006710AB"/>
    <w:rsid w:val="00673715"/>
    <w:rsid w:val="00676778"/>
    <w:rsid w:val="00677E2B"/>
    <w:rsid w:val="00677FD9"/>
    <w:rsid w:val="00682328"/>
    <w:rsid w:val="00685973"/>
    <w:rsid w:val="00685C81"/>
    <w:rsid w:val="00685D88"/>
    <w:rsid w:val="00685DFF"/>
    <w:rsid w:val="00687459"/>
    <w:rsid w:val="00691BD8"/>
    <w:rsid w:val="00691FAF"/>
    <w:rsid w:val="0069237D"/>
    <w:rsid w:val="00696CA1"/>
    <w:rsid w:val="006974F4"/>
    <w:rsid w:val="00697954"/>
    <w:rsid w:val="006A1B5E"/>
    <w:rsid w:val="006A24E7"/>
    <w:rsid w:val="006A3525"/>
    <w:rsid w:val="006A3EC3"/>
    <w:rsid w:val="006A56F0"/>
    <w:rsid w:val="006B1A24"/>
    <w:rsid w:val="006B2729"/>
    <w:rsid w:val="006B341A"/>
    <w:rsid w:val="006B3943"/>
    <w:rsid w:val="006B53FA"/>
    <w:rsid w:val="006B7F86"/>
    <w:rsid w:val="006C2245"/>
    <w:rsid w:val="006C2DFD"/>
    <w:rsid w:val="006C3701"/>
    <w:rsid w:val="006C40C3"/>
    <w:rsid w:val="006C6863"/>
    <w:rsid w:val="006D12DD"/>
    <w:rsid w:val="006D154D"/>
    <w:rsid w:val="006D52C6"/>
    <w:rsid w:val="006D7898"/>
    <w:rsid w:val="006E0415"/>
    <w:rsid w:val="006E053F"/>
    <w:rsid w:val="006E12BA"/>
    <w:rsid w:val="006E3D76"/>
    <w:rsid w:val="006E5381"/>
    <w:rsid w:val="006E5C87"/>
    <w:rsid w:val="006E62B2"/>
    <w:rsid w:val="006E6787"/>
    <w:rsid w:val="006E73D0"/>
    <w:rsid w:val="006F3536"/>
    <w:rsid w:val="006F42EA"/>
    <w:rsid w:val="00700CC4"/>
    <w:rsid w:val="007010E1"/>
    <w:rsid w:val="00702CC9"/>
    <w:rsid w:val="0070462D"/>
    <w:rsid w:val="00704F21"/>
    <w:rsid w:val="007051EA"/>
    <w:rsid w:val="00705D06"/>
    <w:rsid w:val="007072BA"/>
    <w:rsid w:val="00707821"/>
    <w:rsid w:val="007108E8"/>
    <w:rsid w:val="00711868"/>
    <w:rsid w:val="00712A12"/>
    <w:rsid w:val="007158D5"/>
    <w:rsid w:val="00717E46"/>
    <w:rsid w:val="00721BFE"/>
    <w:rsid w:val="00721EAE"/>
    <w:rsid w:val="0072231F"/>
    <w:rsid w:val="00723EF1"/>
    <w:rsid w:val="00727E2E"/>
    <w:rsid w:val="0073090E"/>
    <w:rsid w:val="00732B69"/>
    <w:rsid w:val="00733954"/>
    <w:rsid w:val="00733FC0"/>
    <w:rsid w:val="0073714D"/>
    <w:rsid w:val="00741A8A"/>
    <w:rsid w:val="00742A91"/>
    <w:rsid w:val="007447B6"/>
    <w:rsid w:val="00746199"/>
    <w:rsid w:val="0074668A"/>
    <w:rsid w:val="00746AD6"/>
    <w:rsid w:val="007560F4"/>
    <w:rsid w:val="007574CD"/>
    <w:rsid w:val="00757623"/>
    <w:rsid w:val="00761C9F"/>
    <w:rsid w:val="00764180"/>
    <w:rsid w:val="00764587"/>
    <w:rsid w:val="0076491A"/>
    <w:rsid w:val="00766386"/>
    <w:rsid w:val="00772CD2"/>
    <w:rsid w:val="00774EA2"/>
    <w:rsid w:val="0077679C"/>
    <w:rsid w:val="00780B18"/>
    <w:rsid w:val="00781CAC"/>
    <w:rsid w:val="00782D85"/>
    <w:rsid w:val="00782E22"/>
    <w:rsid w:val="00784DFD"/>
    <w:rsid w:val="007861A9"/>
    <w:rsid w:val="007863AF"/>
    <w:rsid w:val="00786570"/>
    <w:rsid w:val="00786B44"/>
    <w:rsid w:val="00790546"/>
    <w:rsid w:val="007906B0"/>
    <w:rsid w:val="00792905"/>
    <w:rsid w:val="00792BEC"/>
    <w:rsid w:val="007A0346"/>
    <w:rsid w:val="007A2549"/>
    <w:rsid w:val="007A2883"/>
    <w:rsid w:val="007A3153"/>
    <w:rsid w:val="007A367C"/>
    <w:rsid w:val="007A3912"/>
    <w:rsid w:val="007A4B95"/>
    <w:rsid w:val="007A7EE0"/>
    <w:rsid w:val="007B0A40"/>
    <w:rsid w:val="007B19C7"/>
    <w:rsid w:val="007B1F59"/>
    <w:rsid w:val="007B335D"/>
    <w:rsid w:val="007B444B"/>
    <w:rsid w:val="007B4539"/>
    <w:rsid w:val="007B6D13"/>
    <w:rsid w:val="007B7DEA"/>
    <w:rsid w:val="007C0493"/>
    <w:rsid w:val="007C062D"/>
    <w:rsid w:val="007C1E4B"/>
    <w:rsid w:val="007C3EC7"/>
    <w:rsid w:val="007D48FD"/>
    <w:rsid w:val="007D560F"/>
    <w:rsid w:val="007E0697"/>
    <w:rsid w:val="007E2CEF"/>
    <w:rsid w:val="007E349C"/>
    <w:rsid w:val="007E352D"/>
    <w:rsid w:val="007E3BCA"/>
    <w:rsid w:val="007F0990"/>
    <w:rsid w:val="007F1CC5"/>
    <w:rsid w:val="007F2747"/>
    <w:rsid w:val="007F39AE"/>
    <w:rsid w:val="007F43CD"/>
    <w:rsid w:val="007F4600"/>
    <w:rsid w:val="007F463A"/>
    <w:rsid w:val="007F4D9C"/>
    <w:rsid w:val="007F6D66"/>
    <w:rsid w:val="00800109"/>
    <w:rsid w:val="008009BF"/>
    <w:rsid w:val="008009E0"/>
    <w:rsid w:val="00801DC4"/>
    <w:rsid w:val="00806464"/>
    <w:rsid w:val="00807D16"/>
    <w:rsid w:val="00807D70"/>
    <w:rsid w:val="008119B1"/>
    <w:rsid w:val="00815091"/>
    <w:rsid w:val="00815473"/>
    <w:rsid w:val="0081604A"/>
    <w:rsid w:val="00817065"/>
    <w:rsid w:val="008174BC"/>
    <w:rsid w:val="00822032"/>
    <w:rsid w:val="008222AB"/>
    <w:rsid w:val="00823405"/>
    <w:rsid w:val="0082364A"/>
    <w:rsid w:val="00824FE3"/>
    <w:rsid w:val="00826762"/>
    <w:rsid w:val="00826B6A"/>
    <w:rsid w:val="008320B3"/>
    <w:rsid w:val="008331BC"/>
    <w:rsid w:val="0083712E"/>
    <w:rsid w:val="008379DB"/>
    <w:rsid w:val="00837BEA"/>
    <w:rsid w:val="0084144E"/>
    <w:rsid w:val="00842EE7"/>
    <w:rsid w:val="00844812"/>
    <w:rsid w:val="00847358"/>
    <w:rsid w:val="00847CE6"/>
    <w:rsid w:val="0085072D"/>
    <w:rsid w:val="00853218"/>
    <w:rsid w:val="0085551E"/>
    <w:rsid w:val="00861D03"/>
    <w:rsid w:val="00862003"/>
    <w:rsid w:val="008622AE"/>
    <w:rsid w:val="00865A26"/>
    <w:rsid w:val="008700F8"/>
    <w:rsid w:val="0087044D"/>
    <w:rsid w:val="008705EB"/>
    <w:rsid w:val="00872CE0"/>
    <w:rsid w:val="00873FED"/>
    <w:rsid w:val="00874FD8"/>
    <w:rsid w:val="008758F9"/>
    <w:rsid w:val="00875EF0"/>
    <w:rsid w:val="00876417"/>
    <w:rsid w:val="00876CEB"/>
    <w:rsid w:val="00877A56"/>
    <w:rsid w:val="00877D3E"/>
    <w:rsid w:val="00883A30"/>
    <w:rsid w:val="00885651"/>
    <w:rsid w:val="00885FFD"/>
    <w:rsid w:val="00890037"/>
    <w:rsid w:val="0089160A"/>
    <w:rsid w:val="00891A8E"/>
    <w:rsid w:val="00892AE2"/>
    <w:rsid w:val="0089319B"/>
    <w:rsid w:val="00894BDE"/>
    <w:rsid w:val="0089527D"/>
    <w:rsid w:val="00896838"/>
    <w:rsid w:val="00897240"/>
    <w:rsid w:val="008A0B14"/>
    <w:rsid w:val="008A1DA4"/>
    <w:rsid w:val="008A2678"/>
    <w:rsid w:val="008A2E4B"/>
    <w:rsid w:val="008A4328"/>
    <w:rsid w:val="008A53EB"/>
    <w:rsid w:val="008A64AF"/>
    <w:rsid w:val="008B282E"/>
    <w:rsid w:val="008B2E2F"/>
    <w:rsid w:val="008B45A1"/>
    <w:rsid w:val="008B4BDB"/>
    <w:rsid w:val="008C0613"/>
    <w:rsid w:val="008C18A2"/>
    <w:rsid w:val="008C39BF"/>
    <w:rsid w:val="008C4E01"/>
    <w:rsid w:val="008C776E"/>
    <w:rsid w:val="008D0065"/>
    <w:rsid w:val="008D00D7"/>
    <w:rsid w:val="008D168F"/>
    <w:rsid w:val="008D1E7E"/>
    <w:rsid w:val="008D21A4"/>
    <w:rsid w:val="008D433B"/>
    <w:rsid w:val="008D4BF7"/>
    <w:rsid w:val="008D5031"/>
    <w:rsid w:val="008D597A"/>
    <w:rsid w:val="008D60AD"/>
    <w:rsid w:val="008D7C86"/>
    <w:rsid w:val="008D7CF8"/>
    <w:rsid w:val="008E0452"/>
    <w:rsid w:val="008E477A"/>
    <w:rsid w:val="008E5E1A"/>
    <w:rsid w:val="008E60A4"/>
    <w:rsid w:val="008E6280"/>
    <w:rsid w:val="008F0B9C"/>
    <w:rsid w:val="008F154D"/>
    <w:rsid w:val="008F196E"/>
    <w:rsid w:val="008F258F"/>
    <w:rsid w:val="008F4DA9"/>
    <w:rsid w:val="008F549F"/>
    <w:rsid w:val="00901C88"/>
    <w:rsid w:val="0090279F"/>
    <w:rsid w:val="00903C65"/>
    <w:rsid w:val="0090719A"/>
    <w:rsid w:val="0090745B"/>
    <w:rsid w:val="0091217C"/>
    <w:rsid w:val="00912F3E"/>
    <w:rsid w:val="00915B6C"/>
    <w:rsid w:val="00916CF3"/>
    <w:rsid w:val="00917C02"/>
    <w:rsid w:val="00920B5E"/>
    <w:rsid w:val="009214FE"/>
    <w:rsid w:val="00925258"/>
    <w:rsid w:val="00925D53"/>
    <w:rsid w:val="009262D0"/>
    <w:rsid w:val="009304F7"/>
    <w:rsid w:val="00930C75"/>
    <w:rsid w:val="00933324"/>
    <w:rsid w:val="009339C0"/>
    <w:rsid w:val="00934EC3"/>
    <w:rsid w:val="00936D8F"/>
    <w:rsid w:val="00940A1C"/>
    <w:rsid w:val="00941429"/>
    <w:rsid w:val="00943AFE"/>
    <w:rsid w:val="00943E86"/>
    <w:rsid w:val="009465F0"/>
    <w:rsid w:val="0095309D"/>
    <w:rsid w:val="00955FBD"/>
    <w:rsid w:val="00956322"/>
    <w:rsid w:val="0096019D"/>
    <w:rsid w:val="009620AA"/>
    <w:rsid w:val="0096268E"/>
    <w:rsid w:val="00962ADF"/>
    <w:rsid w:val="00962FA4"/>
    <w:rsid w:val="00964BCD"/>
    <w:rsid w:val="00965A91"/>
    <w:rsid w:val="00971518"/>
    <w:rsid w:val="00973CE0"/>
    <w:rsid w:val="00974D3A"/>
    <w:rsid w:val="00974EA6"/>
    <w:rsid w:val="009764C4"/>
    <w:rsid w:val="009825DA"/>
    <w:rsid w:val="009838BF"/>
    <w:rsid w:val="00983909"/>
    <w:rsid w:val="00983CEA"/>
    <w:rsid w:val="00985F42"/>
    <w:rsid w:val="009907F4"/>
    <w:rsid w:val="00991281"/>
    <w:rsid w:val="00991334"/>
    <w:rsid w:val="00992B7B"/>
    <w:rsid w:val="009947E0"/>
    <w:rsid w:val="009948E9"/>
    <w:rsid w:val="00995AA5"/>
    <w:rsid w:val="009A0BB2"/>
    <w:rsid w:val="009A1EA8"/>
    <w:rsid w:val="009A3211"/>
    <w:rsid w:val="009A456E"/>
    <w:rsid w:val="009A4DD7"/>
    <w:rsid w:val="009B0BB8"/>
    <w:rsid w:val="009B1325"/>
    <w:rsid w:val="009B196F"/>
    <w:rsid w:val="009B2A89"/>
    <w:rsid w:val="009B3194"/>
    <w:rsid w:val="009B42C5"/>
    <w:rsid w:val="009B5938"/>
    <w:rsid w:val="009B6E90"/>
    <w:rsid w:val="009B7DF0"/>
    <w:rsid w:val="009C1C83"/>
    <w:rsid w:val="009C30F9"/>
    <w:rsid w:val="009C3EFB"/>
    <w:rsid w:val="009C6AC6"/>
    <w:rsid w:val="009D0089"/>
    <w:rsid w:val="009D1355"/>
    <w:rsid w:val="009D324F"/>
    <w:rsid w:val="009D373C"/>
    <w:rsid w:val="009D785D"/>
    <w:rsid w:val="009E118F"/>
    <w:rsid w:val="009E2402"/>
    <w:rsid w:val="009E4892"/>
    <w:rsid w:val="009E7F38"/>
    <w:rsid w:val="009F09E1"/>
    <w:rsid w:val="009F3D8E"/>
    <w:rsid w:val="009F3F88"/>
    <w:rsid w:val="009F67C8"/>
    <w:rsid w:val="00A0036F"/>
    <w:rsid w:val="00A007B7"/>
    <w:rsid w:val="00A06AA8"/>
    <w:rsid w:val="00A132C1"/>
    <w:rsid w:val="00A14582"/>
    <w:rsid w:val="00A154E1"/>
    <w:rsid w:val="00A15E42"/>
    <w:rsid w:val="00A15FB1"/>
    <w:rsid w:val="00A169D7"/>
    <w:rsid w:val="00A20CD7"/>
    <w:rsid w:val="00A23DC3"/>
    <w:rsid w:val="00A245CF"/>
    <w:rsid w:val="00A24699"/>
    <w:rsid w:val="00A24CAB"/>
    <w:rsid w:val="00A25B79"/>
    <w:rsid w:val="00A25DFA"/>
    <w:rsid w:val="00A271DF"/>
    <w:rsid w:val="00A279F0"/>
    <w:rsid w:val="00A30D75"/>
    <w:rsid w:val="00A310B1"/>
    <w:rsid w:val="00A3259D"/>
    <w:rsid w:val="00A32761"/>
    <w:rsid w:val="00A36413"/>
    <w:rsid w:val="00A36DF3"/>
    <w:rsid w:val="00A4046E"/>
    <w:rsid w:val="00A405DD"/>
    <w:rsid w:val="00A4239B"/>
    <w:rsid w:val="00A4420F"/>
    <w:rsid w:val="00A44370"/>
    <w:rsid w:val="00A44948"/>
    <w:rsid w:val="00A459D9"/>
    <w:rsid w:val="00A466BD"/>
    <w:rsid w:val="00A507AC"/>
    <w:rsid w:val="00A51479"/>
    <w:rsid w:val="00A522B2"/>
    <w:rsid w:val="00A52B37"/>
    <w:rsid w:val="00A53407"/>
    <w:rsid w:val="00A54396"/>
    <w:rsid w:val="00A56446"/>
    <w:rsid w:val="00A57B4B"/>
    <w:rsid w:val="00A605A1"/>
    <w:rsid w:val="00A61DC8"/>
    <w:rsid w:val="00A62F87"/>
    <w:rsid w:val="00A644DB"/>
    <w:rsid w:val="00A650C4"/>
    <w:rsid w:val="00A666BA"/>
    <w:rsid w:val="00A67D5F"/>
    <w:rsid w:val="00A707AC"/>
    <w:rsid w:val="00A70C42"/>
    <w:rsid w:val="00A777C5"/>
    <w:rsid w:val="00A81EE1"/>
    <w:rsid w:val="00A81F3A"/>
    <w:rsid w:val="00A820DB"/>
    <w:rsid w:val="00A847A9"/>
    <w:rsid w:val="00A856E1"/>
    <w:rsid w:val="00A86D05"/>
    <w:rsid w:val="00A90AF9"/>
    <w:rsid w:val="00A94ADD"/>
    <w:rsid w:val="00A95E6B"/>
    <w:rsid w:val="00A96007"/>
    <w:rsid w:val="00A963F0"/>
    <w:rsid w:val="00A9659C"/>
    <w:rsid w:val="00AA02D7"/>
    <w:rsid w:val="00AA3EB3"/>
    <w:rsid w:val="00AA42E8"/>
    <w:rsid w:val="00AA4389"/>
    <w:rsid w:val="00AA5B95"/>
    <w:rsid w:val="00AB0117"/>
    <w:rsid w:val="00AB1EDF"/>
    <w:rsid w:val="00AB202D"/>
    <w:rsid w:val="00AB2115"/>
    <w:rsid w:val="00AB4388"/>
    <w:rsid w:val="00AB5A8D"/>
    <w:rsid w:val="00AB5CD1"/>
    <w:rsid w:val="00AB78DD"/>
    <w:rsid w:val="00AB7E44"/>
    <w:rsid w:val="00AB7F58"/>
    <w:rsid w:val="00AC0038"/>
    <w:rsid w:val="00AC0364"/>
    <w:rsid w:val="00AC0AE6"/>
    <w:rsid w:val="00AC0BFD"/>
    <w:rsid w:val="00AC203C"/>
    <w:rsid w:val="00AC3106"/>
    <w:rsid w:val="00AC3477"/>
    <w:rsid w:val="00AC71AA"/>
    <w:rsid w:val="00AD0BD4"/>
    <w:rsid w:val="00AD24FA"/>
    <w:rsid w:val="00AD2905"/>
    <w:rsid w:val="00AD699B"/>
    <w:rsid w:val="00AD7402"/>
    <w:rsid w:val="00AD7BBB"/>
    <w:rsid w:val="00AE0D46"/>
    <w:rsid w:val="00AE14DB"/>
    <w:rsid w:val="00AE2989"/>
    <w:rsid w:val="00AE39B2"/>
    <w:rsid w:val="00AE4D4C"/>
    <w:rsid w:val="00AE65BF"/>
    <w:rsid w:val="00AE6DD5"/>
    <w:rsid w:val="00AE782B"/>
    <w:rsid w:val="00AF0E83"/>
    <w:rsid w:val="00AF133A"/>
    <w:rsid w:val="00B027B3"/>
    <w:rsid w:val="00B027C9"/>
    <w:rsid w:val="00B02B26"/>
    <w:rsid w:val="00B0353A"/>
    <w:rsid w:val="00B04078"/>
    <w:rsid w:val="00B040A7"/>
    <w:rsid w:val="00B10E3B"/>
    <w:rsid w:val="00B1645C"/>
    <w:rsid w:val="00B2108B"/>
    <w:rsid w:val="00B212D0"/>
    <w:rsid w:val="00B21DD0"/>
    <w:rsid w:val="00B22A3A"/>
    <w:rsid w:val="00B233E6"/>
    <w:rsid w:val="00B23E66"/>
    <w:rsid w:val="00B2425C"/>
    <w:rsid w:val="00B26868"/>
    <w:rsid w:val="00B26941"/>
    <w:rsid w:val="00B27359"/>
    <w:rsid w:val="00B279D0"/>
    <w:rsid w:val="00B27BDD"/>
    <w:rsid w:val="00B31803"/>
    <w:rsid w:val="00B3288D"/>
    <w:rsid w:val="00B33029"/>
    <w:rsid w:val="00B332AA"/>
    <w:rsid w:val="00B360E3"/>
    <w:rsid w:val="00B37252"/>
    <w:rsid w:val="00B37361"/>
    <w:rsid w:val="00B42FDC"/>
    <w:rsid w:val="00B47D1E"/>
    <w:rsid w:val="00B52224"/>
    <w:rsid w:val="00B52B7E"/>
    <w:rsid w:val="00B538F2"/>
    <w:rsid w:val="00B5489B"/>
    <w:rsid w:val="00B560E8"/>
    <w:rsid w:val="00B57097"/>
    <w:rsid w:val="00B57C6D"/>
    <w:rsid w:val="00B61058"/>
    <w:rsid w:val="00B62723"/>
    <w:rsid w:val="00B63D08"/>
    <w:rsid w:val="00B64E27"/>
    <w:rsid w:val="00B65352"/>
    <w:rsid w:val="00B665E3"/>
    <w:rsid w:val="00B669E6"/>
    <w:rsid w:val="00B6719F"/>
    <w:rsid w:val="00B71795"/>
    <w:rsid w:val="00B7476D"/>
    <w:rsid w:val="00B807C3"/>
    <w:rsid w:val="00B8180C"/>
    <w:rsid w:val="00B81FA2"/>
    <w:rsid w:val="00B8263E"/>
    <w:rsid w:val="00B826A2"/>
    <w:rsid w:val="00B87A52"/>
    <w:rsid w:val="00B907C1"/>
    <w:rsid w:val="00B90B58"/>
    <w:rsid w:val="00B913D9"/>
    <w:rsid w:val="00B91D70"/>
    <w:rsid w:val="00B92D83"/>
    <w:rsid w:val="00B932FC"/>
    <w:rsid w:val="00B933A2"/>
    <w:rsid w:val="00BA0E9A"/>
    <w:rsid w:val="00BA3A0D"/>
    <w:rsid w:val="00BA3B63"/>
    <w:rsid w:val="00BA671D"/>
    <w:rsid w:val="00BA7E99"/>
    <w:rsid w:val="00BB0B9B"/>
    <w:rsid w:val="00BB0D99"/>
    <w:rsid w:val="00BB1061"/>
    <w:rsid w:val="00BB15CC"/>
    <w:rsid w:val="00BB1B01"/>
    <w:rsid w:val="00BB4750"/>
    <w:rsid w:val="00BB76B2"/>
    <w:rsid w:val="00BC052C"/>
    <w:rsid w:val="00BC056A"/>
    <w:rsid w:val="00BC065D"/>
    <w:rsid w:val="00BC1A9F"/>
    <w:rsid w:val="00BC2CA5"/>
    <w:rsid w:val="00BC3640"/>
    <w:rsid w:val="00BC55F4"/>
    <w:rsid w:val="00BC71FB"/>
    <w:rsid w:val="00BD196E"/>
    <w:rsid w:val="00BD5ED4"/>
    <w:rsid w:val="00BD63AB"/>
    <w:rsid w:val="00BE152E"/>
    <w:rsid w:val="00BF30DD"/>
    <w:rsid w:val="00BF4B66"/>
    <w:rsid w:val="00BF583F"/>
    <w:rsid w:val="00BF5A08"/>
    <w:rsid w:val="00BF5FFC"/>
    <w:rsid w:val="00BF6E3A"/>
    <w:rsid w:val="00BF6EFC"/>
    <w:rsid w:val="00BF76EE"/>
    <w:rsid w:val="00C0082E"/>
    <w:rsid w:val="00C01710"/>
    <w:rsid w:val="00C02B77"/>
    <w:rsid w:val="00C03526"/>
    <w:rsid w:val="00C05228"/>
    <w:rsid w:val="00C05DB7"/>
    <w:rsid w:val="00C05FCE"/>
    <w:rsid w:val="00C06DCD"/>
    <w:rsid w:val="00C077A7"/>
    <w:rsid w:val="00C12451"/>
    <w:rsid w:val="00C15727"/>
    <w:rsid w:val="00C16B0B"/>
    <w:rsid w:val="00C1776A"/>
    <w:rsid w:val="00C17EE6"/>
    <w:rsid w:val="00C17FC2"/>
    <w:rsid w:val="00C223EE"/>
    <w:rsid w:val="00C24A8D"/>
    <w:rsid w:val="00C26031"/>
    <w:rsid w:val="00C26A33"/>
    <w:rsid w:val="00C26B58"/>
    <w:rsid w:val="00C306AE"/>
    <w:rsid w:val="00C31D68"/>
    <w:rsid w:val="00C32423"/>
    <w:rsid w:val="00C3264A"/>
    <w:rsid w:val="00C328CB"/>
    <w:rsid w:val="00C3521D"/>
    <w:rsid w:val="00C35FBB"/>
    <w:rsid w:val="00C363A1"/>
    <w:rsid w:val="00C3666A"/>
    <w:rsid w:val="00C40255"/>
    <w:rsid w:val="00C40682"/>
    <w:rsid w:val="00C41644"/>
    <w:rsid w:val="00C42435"/>
    <w:rsid w:val="00C449E1"/>
    <w:rsid w:val="00C4602C"/>
    <w:rsid w:val="00C477F2"/>
    <w:rsid w:val="00C50FB4"/>
    <w:rsid w:val="00C5100D"/>
    <w:rsid w:val="00C52BC3"/>
    <w:rsid w:val="00C52F11"/>
    <w:rsid w:val="00C53392"/>
    <w:rsid w:val="00C53562"/>
    <w:rsid w:val="00C54A82"/>
    <w:rsid w:val="00C6089E"/>
    <w:rsid w:val="00C6263D"/>
    <w:rsid w:val="00C634C1"/>
    <w:rsid w:val="00C64325"/>
    <w:rsid w:val="00C64617"/>
    <w:rsid w:val="00C6718E"/>
    <w:rsid w:val="00C70581"/>
    <w:rsid w:val="00C72038"/>
    <w:rsid w:val="00C72865"/>
    <w:rsid w:val="00C75158"/>
    <w:rsid w:val="00C763D1"/>
    <w:rsid w:val="00C775E6"/>
    <w:rsid w:val="00C83EEE"/>
    <w:rsid w:val="00C84EC8"/>
    <w:rsid w:val="00C8684A"/>
    <w:rsid w:val="00C87AB1"/>
    <w:rsid w:val="00C907FE"/>
    <w:rsid w:val="00C91AA9"/>
    <w:rsid w:val="00C92472"/>
    <w:rsid w:val="00C926E3"/>
    <w:rsid w:val="00C92A33"/>
    <w:rsid w:val="00C93643"/>
    <w:rsid w:val="00C940A3"/>
    <w:rsid w:val="00C94989"/>
    <w:rsid w:val="00C954D0"/>
    <w:rsid w:val="00C95623"/>
    <w:rsid w:val="00C9703D"/>
    <w:rsid w:val="00C9791C"/>
    <w:rsid w:val="00C97E5B"/>
    <w:rsid w:val="00CA1332"/>
    <w:rsid w:val="00CA15F7"/>
    <w:rsid w:val="00CA35C0"/>
    <w:rsid w:val="00CA427F"/>
    <w:rsid w:val="00CA55A6"/>
    <w:rsid w:val="00CA65DE"/>
    <w:rsid w:val="00CA680B"/>
    <w:rsid w:val="00CA76FD"/>
    <w:rsid w:val="00CB142B"/>
    <w:rsid w:val="00CB25A1"/>
    <w:rsid w:val="00CB31C4"/>
    <w:rsid w:val="00CB515C"/>
    <w:rsid w:val="00CB6CBB"/>
    <w:rsid w:val="00CC044B"/>
    <w:rsid w:val="00CC0D57"/>
    <w:rsid w:val="00CC1189"/>
    <w:rsid w:val="00CC1E55"/>
    <w:rsid w:val="00CC232A"/>
    <w:rsid w:val="00CC3070"/>
    <w:rsid w:val="00CC73FD"/>
    <w:rsid w:val="00CC78A1"/>
    <w:rsid w:val="00CD0DCD"/>
    <w:rsid w:val="00CD2C83"/>
    <w:rsid w:val="00CD3818"/>
    <w:rsid w:val="00CD6AE5"/>
    <w:rsid w:val="00CD7682"/>
    <w:rsid w:val="00CE1169"/>
    <w:rsid w:val="00CE3084"/>
    <w:rsid w:val="00CE4917"/>
    <w:rsid w:val="00CE5503"/>
    <w:rsid w:val="00CE638A"/>
    <w:rsid w:val="00CE6C96"/>
    <w:rsid w:val="00CE73D4"/>
    <w:rsid w:val="00CE7470"/>
    <w:rsid w:val="00CF04A6"/>
    <w:rsid w:val="00CF156E"/>
    <w:rsid w:val="00CF1940"/>
    <w:rsid w:val="00CF54DE"/>
    <w:rsid w:val="00CF7A60"/>
    <w:rsid w:val="00D00286"/>
    <w:rsid w:val="00D00606"/>
    <w:rsid w:val="00D0322F"/>
    <w:rsid w:val="00D034D8"/>
    <w:rsid w:val="00D03A7D"/>
    <w:rsid w:val="00D03C09"/>
    <w:rsid w:val="00D0589E"/>
    <w:rsid w:val="00D05AA3"/>
    <w:rsid w:val="00D05B73"/>
    <w:rsid w:val="00D05BAE"/>
    <w:rsid w:val="00D062EC"/>
    <w:rsid w:val="00D067BE"/>
    <w:rsid w:val="00D0743A"/>
    <w:rsid w:val="00D076B8"/>
    <w:rsid w:val="00D14E48"/>
    <w:rsid w:val="00D221AC"/>
    <w:rsid w:val="00D236AE"/>
    <w:rsid w:val="00D23842"/>
    <w:rsid w:val="00D23E5B"/>
    <w:rsid w:val="00D25422"/>
    <w:rsid w:val="00D26ABE"/>
    <w:rsid w:val="00D2748A"/>
    <w:rsid w:val="00D27C89"/>
    <w:rsid w:val="00D30ABA"/>
    <w:rsid w:val="00D316F4"/>
    <w:rsid w:val="00D31B37"/>
    <w:rsid w:val="00D31E4E"/>
    <w:rsid w:val="00D31EAA"/>
    <w:rsid w:val="00D326BD"/>
    <w:rsid w:val="00D3307A"/>
    <w:rsid w:val="00D34828"/>
    <w:rsid w:val="00D36657"/>
    <w:rsid w:val="00D4083B"/>
    <w:rsid w:val="00D41CA4"/>
    <w:rsid w:val="00D44793"/>
    <w:rsid w:val="00D52FFC"/>
    <w:rsid w:val="00D53004"/>
    <w:rsid w:val="00D532C8"/>
    <w:rsid w:val="00D53DC0"/>
    <w:rsid w:val="00D54386"/>
    <w:rsid w:val="00D54A67"/>
    <w:rsid w:val="00D57B84"/>
    <w:rsid w:val="00D61EFB"/>
    <w:rsid w:val="00D62859"/>
    <w:rsid w:val="00D62D13"/>
    <w:rsid w:val="00D64C68"/>
    <w:rsid w:val="00D65929"/>
    <w:rsid w:val="00D6690B"/>
    <w:rsid w:val="00D669CF"/>
    <w:rsid w:val="00D67333"/>
    <w:rsid w:val="00D67CBA"/>
    <w:rsid w:val="00D7356C"/>
    <w:rsid w:val="00D73C8A"/>
    <w:rsid w:val="00D75A63"/>
    <w:rsid w:val="00D75C8C"/>
    <w:rsid w:val="00D768C8"/>
    <w:rsid w:val="00D806C3"/>
    <w:rsid w:val="00D80C9E"/>
    <w:rsid w:val="00D866B6"/>
    <w:rsid w:val="00D86E6E"/>
    <w:rsid w:val="00D90CEE"/>
    <w:rsid w:val="00D927AB"/>
    <w:rsid w:val="00D92AD3"/>
    <w:rsid w:val="00D936AD"/>
    <w:rsid w:val="00D93705"/>
    <w:rsid w:val="00D93E02"/>
    <w:rsid w:val="00D9570B"/>
    <w:rsid w:val="00D96FB3"/>
    <w:rsid w:val="00DA35F1"/>
    <w:rsid w:val="00DA44A1"/>
    <w:rsid w:val="00DA450D"/>
    <w:rsid w:val="00DA47AA"/>
    <w:rsid w:val="00DA49DE"/>
    <w:rsid w:val="00DA4A94"/>
    <w:rsid w:val="00DA5E5D"/>
    <w:rsid w:val="00DA7876"/>
    <w:rsid w:val="00DA7EDE"/>
    <w:rsid w:val="00DB061D"/>
    <w:rsid w:val="00DB1D00"/>
    <w:rsid w:val="00DB2EA4"/>
    <w:rsid w:val="00DB49D1"/>
    <w:rsid w:val="00DB51F8"/>
    <w:rsid w:val="00DB5427"/>
    <w:rsid w:val="00DB5DDD"/>
    <w:rsid w:val="00DB5EF0"/>
    <w:rsid w:val="00DB711C"/>
    <w:rsid w:val="00DB74AA"/>
    <w:rsid w:val="00DB7DE3"/>
    <w:rsid w:val="00DC2A16"/>
    <w:rsid w:val="00DC3471"/>
    <w:rsid w:val="00DC4EA2"/>
    <w:rsid w:val="00DC64BC"/>
    <w:rsid w:val="00DC6B76"/>
    <w:rsid w:val="00DD1B4C"/>
    <w:rsid w:val="00DD268A"/>
    <w:rsid w:val="00DD450F"/>
    <w:rsid w:val="00DD4E6F"/>
    <w:rsid w:val="00DD55DB"/>
    <w:rsid w:val="00DD5C52"/>
    <w:rsid w:val="00DD60A8"/>
    <w:rsid w:val="00DD6ADD"/>
    <w:rsid w:val="00DD7243"/>
    <w:rsid w:val="00DD7786"/>
    <w:rsid w:val="00DD7796"/>
    <w:rsid w:val="00DD7D0C"/>
    <w:rsid w:val="00DE06A2"/>
    <w:rsid w:val="00DE1979"/>
    <w:rsid w:val="00DE1F49"/>
    <w:rsid w:val="00DE2004"/>
    <w:rsid w:val="00DE2DE3"/>
    <w:rsid w:val="00DE3302"/>
    <w:rsid w:val="00DE5C56"/>
    <w:rsid w:val="00DE646F"/>
    <w:rsid w:val="00DF1EF3"/>
    <w:rsid w:val="00DF2712"/>
    <w:rsid w:val="00DF53B8"/>
    <w:rsid w:val="00DF6DB2"/>
    <w:rsid w:val="00DF7AB6"/>
    <w:rsid w:val="00DF7FAE"/>
    <w:rsid w:val="00E00033"/>
    <w:rsid w:val="00E0030A"/>
    <w:rsid w:val="00E01F77"/>
    <w:rsid w:val="00E02C7C"/>
    <w:rsid w:val="00E03350"/>
    <w:rsid w:val="00E041E5"/>
    <w:rsid w:val="00E05D58"/>
    <w:rsid w:val="00E07A85"/>
    <w:rsid w:val="00E106DC"/>
    <w:rsid w:val="00E11EF6"/>
    <w:rsid w:val="00E134F4"/>
    <w:rsid w:val="00E21927"/>
    <w:rsid w:val="00E21CAC"/>
    <w:rsid w:val="00E30F86"/>
    <w:rsid w:val="00E31939"/>
    <w:rsid w:val="00E3409B"/>
    <w:rsid w:val="00E367C5"/>
    <w:rsid w:val="00E406D2"/>
    <w:rsid w:val="00E421F8"/>
    <w:rsid w:val="00E4490C"/>
    <w:rsid w:val="00E44CFE"/>
    <w:rsid w:val="00E47362"/>
    <w:rsid w:val="00E500FA"/>
    <w:rsid w:val="00E54572"/>
    <w:rsid w:val="00E54ABA"/>
    <w:rsid w:val="00E551EF"/>
    <w:rsid w:val="00E5696F"/>
    <w:rsid w:val="00E57199"/>
    <w:rsid w:val="00E62590"/>
    <w:rsid w:val="00E6369F"/>
    <w:rsid w:val="00E649F7"/>
    <w:rsid w:val="00E65668"/>
    <w:rsid w:val="00E65B43"/>
    <w:rsid w:val="00E66B63"/>
    <w:rsid w:val="00E67EAE"/>
    <w:rsid w:val="00E72108"/>
    <w:rsid w:val="00E73A4C"/>
    <w:rsid w:val="00E74011"/>
    <w:rsid w:val="00E7564A"/>
    <w:rsid w:val="00E77E73"/>
    <w:rsid w:val="00E815A5"/>
    <w:rsid w:val="00E82925"/>
    <w:rsid w:val="00E8342B"/>
    <w:rsid w:val="00E84748"/>
    <w:rsid w:val="00E8591A"/>
    <w:rsid w:val="00E8784B"/>
    <w:rsid w:val="00E87931"/>
    <w:rsid w:val="00E904F3"/>
    <w:rsid w:val="00E91E6B"/>
    <w:rsid w:val="00E933B8"/>
    <w:rsid w:val="00E93982"/>
    <w:rsid w:val="00E93CF2"/>
    <w:rsid w:val="00E94F3A"/>
    <w:rsid w:val="00E9609C"/>
    <w:rsid w:val="00E970D3"/>
    <w:rsid w:val="00E977F7"/>
    <w:rsid w:val="00EA607E"/>
    <w:rsid w:val="00EA6551"/>
    <w:rsid w:val="00EA7A5B"/>
    <w:rsid w:val="00EA7B30"/>
    <w:rsid w:val="00EB0191"/>
    <w:rsid w:val="00EB11D6"/>
    <w:rsid w:val="00EB2051"/>
    <w:rsid w:val="00EB2BEC"/>
    <w:rsid w:val="00EB40F7"/>
    <w:rsid w:val="00EB4FE9"/>
    <w:rsid w:val="00EB7158"/>
    <w:rsid w:val="00EC3956"/>
    <w:rsid w:val="00EC40A0"/>
    <w:rsid w:val="00EC4508"/>
    <w:rsid w:val="00EC69DC"/>
    <w:rsid w:val="00EC7B3F"/>
    <w:rsid w:val="00ED0EA4"/>
    <w:rsid w:val="00ED5F38"/>
    <w:rsid w:val="00ED60C1"/>
    <w:rsid w:val="00ED7006"/>
    <w:rsid w:val="00ED7074"/>
    <w:rsid w:val="00ED72F4"/>
    <w:rsid w:val="00EE0F5A"/>
    <w:rsid w:val="00EE644B"/>
    <w:rsid w:val="00EF0157"/>
    <w:rsid w:val="00EF05B9"/>
    <w:rsid w:val="00EF0C21"/>
    <w:rsid w:val="00EF1FFE"/>
    <w:rsid w:val="00EF24E3"/>
    <w:rsid w:val="00EF2CAE"/>
    <w:rsid w:val="00EF34FB"/>
    <w:rsid w:val="00F006DD"/>
    <w:rsid w:val="00F0146A"/>
    <w:rsid w:val="00F02CFE"/>
    <w:rsid w:val="00F02EAF"/>
    <w:rsid w:val="00F04BA4"/>
    <w:rsid w:val="00F064D5"/>
    <w:rsid w:val="00F06CE5"/>
    <w:rsid w:val="00F11338"/>
    <w:rsid w:val="00F13306"/>
    <w:rsid w:val="00F141FF"/>
    <w:rsid w:val="00F142A1"/>
    <w:rsid w:val="00F17CBF"/>
    <w:rsid w:val="00F21C86"/>
    <w:rsid w:val="00F24B5F"/>
    <w:rsid w:val="00F25032"/>
    <w:rsid w:val="00F30949"/>
    <w:rsid w:val="00F32015"/>
    <w:rsid w:val="00F32241"/>
    <w:rsid w:val="00F325DC"/>
    <w:rsid w:val="00F32A0D"/>
    <w:rsid w:val="00F332B8"/>
    <w:rsid w:val="00F345EA"/>
    <w:rsid w:val="00F42982"/>
    <w:rsid w:val="00F42BC5"/>
    <w:rsid w:val="00F447EF"/>
    <w:rsid w:val="00F47C3E"/>
    <w:rsid w:val="00F55096"/>
    <w:rsid w:val="00F559BB"/>
    <w:rsid w:val="00F56EFF"/>
    <w:rsid w:val="00F5700D"/>
    <w:rsid w:val="00F57A7D"/>
    <w:rsid w:val="00F57E52"/>
    <w:rsid w:val="00F61F32"/>
    <w:rsid w:val="00F635D9"/>
    <w:rsid w:val="00F674E3"/>
    <w:rsid w:val="00F67A18"/>
    <w:rsid w:val="00F70F21"/>
    <w:rsid w:val="00F7344C"/>
    <w:rsid w:val="00F73A1F"/>
    <w:rsid w:val="00F743A0"/>
    <w:rsid w:val="00F7541A"/>
    <w:rsid w:val="00F75581"/>
    <w:rsid w:val="00F75808"/>
    <w:rsid w:val="00F75E28"/>
    <w:rsid w:val="00F7677C"/>
    <w:rsid w:val="00F85660"/>
    <w:rsid w:val="00F90E40"/>
    <w:rsid w:val="00F910C6"/>
    <w:rsid w:val="00F92AB5"/>
    <w:rsid w:val="00F96CD9"/>
    <w:rsid w:val="00F9785D"/>
    <w:rsid w:val="00FA3C42"/>
    <w:rsid w:val="00FA4651"/>
    <w:rsid w:val="00FA5C2A"/>
    <w:rsid w:val="00FA6D96"/>
    <w:rsid w:val="00FA6EA5"/>
    <w:rsid w:val="00FB084A"/>
    <w:rsid w:val="00FB3898"/>
    <w:rsid w:val="00FB496D"/>
    <w:rsid w:val="00FB567E"/>
    <w:rsid w:val="00FB6DA2"/>
    <w:rsid w:val="00FB7F3C"/>
    <w:rsid w:val="00FC0971"/>
    <w:rsid w:val="00FC0A88"/>
    <w:rsid w:val="00FC0AC7"/>
    <w:rsid w:val="00FC103C"/>
    <w:rsid w:val="00FC18FA"/>
    <w:rsid w:val="00FC3275"/>
    <w:rsid w:val="00FC4F70"/>
    <w:rsid w:val="00FC5278"/>
    <w:rsid w:val="00FD0A98"/>
    <w:rsid w:val="00FD1393"/>
    <w:rsid w:val="00FD1711"/>
    <w:rsid w:val="00FD2307"/>
    <w:rsid w:val="00FD2E34"/>
    <w:rsid w:val="00FD49EC"/>
    <w:rsid w:val="00FD6004"/>
    <w:rsid w:val="00FE0913"/>
    <w:rsid w:val="00FE1DC1"/>
    <w:rsid w:val="00FE1E08"/>
    <w:rsid w:val="00FE4E64"/>
    <w:rsid w:val="00FE4F97"/>
    <w:rsid w:val="00FE701C"/>
    <w:rsid w:val="00FF075D"/>
    <w:rsid w:val="00FF09BB"/>
    <w:rsid w:val="00FF1DE9"/>
    <w:rsid w:val="00FF280B"/>
    <w:rsid w:val="00FF353A"/>
    <w:rsid w:val="00FF6246"/>
    <w:rsid w:val="00FF6666"/>
    <w:rsid w:val="00FF6A90"/>
    <w:rsid w:val="02065AE5"/>
    <w:rsid w:val="04F93690"/>
    <w:rsid w:val="06465AF2"/>
    <w:rsid w:val="1317326B"/>
    <w:rsid w:val="13281A6D"/>
    <w:rsid w:val="2F7A7664"/>
    <w:rsid w:val="4BAE58AD"/>
    <w:rsid w:val="5179359F"/>
    <w:rsid w:val="616741FC"/>
    <w:rsid w:val="643C7728"/>
    <w:rsid w:val="69065314"/>
    <w:rsid w:val="7E3C5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28"/>
    <w:unhideWhenUsed/>
    <w:qFormat/>
    <w:uiPriority w:val="99"/>
    <w:rPr>
      <w:rFonts w:ascii="宋体" w:eastAsia="宋体"/>
      <w:sz w:val="18"/>
      <w:szCs w:val="18"/>
    </w:rPr>
  </w:style>
  <w:style w:type="paragraph" w:styleId="3">
    <w:name w:val="Body Text Indent"/>
    <w:basedOn w:val="1"/>
    <w:link w:val="30"/>
    <w:qFormat/>
    <w:uiPriority w:val="0"/>
    <w:pPr>
      <w:widowControl/>
      <w:suppressAutoHyphens/>
      <w:overflowPunct w:val="0"/>
      <w:autoSpaceDE w:val="0"/>
      <w:autoSpaceDN w:val="0"/>
      <w:adjustRightInd w:val="0"/>
      <w:ind w:firstLine="360"/>
      <w:textAlignment w:val="baseline"/>
    </w:pPr>
    <w:rPr>
      <w:rFonts w:ascii="Times New Roman" w:hAnsi="Times New Roman" w:eastAsia="MS Mincho" w:cs="Times New Roman"/>
      <w:kern w:val="14"/>
      <w:sz w:val="20"/>
      <w:szCs w:val="20"/>
      <w:lang w:eastAsia="en-US"/>
    </w:rPr>
  </w:style>
  <w:style w:type="paragraph" w:styleId="4">
    <w:name w:val="Balloon Text"/>
    <w:basedOn w:val="1"/>
    <w:link w:val="14"/>
    <w:unhideWhenUsed/>
    <w:qFormat/>
    <w:uiPriority w:val="99"/>
    <w:rPr>
      <w:sz w:val="18"/>
      <w:szCs w:val="18"/>
    </w:rPr>
  </w:style>
  <w:style w:type="paragraph" w:styleId="5">
    <w:name w:val="footer"/>
    <w:basedOn w:val="1"/>
    <w:link w:val="27"/>
    <w:unhideWhenUsed/>
    <w:qFormat/>
    <w:uiPriority w:val="99"/>
    <w:pPr>
      <w:tabs>
        <w:tab w:val="center" w:pos="4153"/>
        <w:tab w:val="right" w:pos="8306"/>
      </w:tabs>
      <w:snapToGrid w:val="0"/>
      <w:jc w:val="left"/>
    </w:pPr>
    <w:rPr>
      <w:sz w:val="18"/>
      <w:szCs w:val="18"/>
    </w:rPr>
  </w:style>
  <w:style w:type="paragraph" w:styleId="6">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pPr>
      <w:tabs>
        <w:tab w:val="right" w:leader="dot" w:pos="9241"/>
      </w:tabs>
      <w:spacing w:line="340" w:lineRule="exact"/>
      <w:jc w:val="left"/>
    </w:pPr>
    <w:rPr>
      <w:rFonts w:ascii="宋体" w:hAnsi="Times New Roman" w:eastAsia="宋体" w:cs="Times New Roman"/>
      <w:szCs w:val="21"/>
    </w:rPr>
  </w:style>
  <w:style w:type="paragraph" w:styleId="8">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Emphasis"/>
    <w:basedOn w:val="11"/>
    <w:qFormat/>
    <w:uiPriority w:val="20"/>
    <w:rPr>
      <w:i/>
      <w:iCs/>
    </w:rPr>
  </w:style>
  <w:style w:type="character" w:styleId="13">
    <w:name w:val="Hyperlink"/>
    <w:basedOn w:val="11"/>
    <w:qFormat/>
    <w:uiPriority w:val="99"/>
    <w:rPr>
      <w:color w:val="0000FF"/>
      <w:spacing w:val="0"/>
      <w:w w:val="100"/>
      <w:szCs w:val="21"/>
      <w:u w:val="single"/>
    </w:rPr>
  </w:style>
  <w:style w:type="character" w:customStyle="1" w:styleId="14">
    <w:name w:val="批注框文本 Char"/>
    <w:basedOn w:val="11"/>
    <w:link w:val="4"/>
    <w:semiHidden/>
    <w:qFormat/>
    <w:uiPriority w:val="99"/>
    <w:rPr>
      <w:sz w:val="18"/>
      <w:szCs w:val="18"/>
    </w:rPr>
  </w:style>
  <w:style w:type="paragraph" w:customStyle="1" w:styleId="15">
    <w:name w:val="列表段落1"/>
    <w:basedOn w:val="1"/>
    <w:qFormat/>
    <w:uiPriority w:val="34"/>
    <w:pPr>
      <w:ind w:firstLine="420" w:firstLineChars="200"/>
    </w:pPr>
  </w:style>
  <w:style w:type="paragraph" w:customStyle="1" w:styleId="16">
    <w:name w:val="段"/>
    <w:link w:val="17"/>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7">
    <w:name w:val="段 Char"/>
    <w:basedOn w:val="11"/>
    <w:link w:val="16"/>
    <w:qFormat/>
    <w:uiPriority w:val="0"/>
    <w:rPr>
      <w:rFonts w:ascii="宋体" w:hAnsi="Times New Roman" w:eastAsia="宋体" w:cs="Times New Roman"/>
      <w:kern w:val="0"/>
      <w:szCs w:val="20"/>
    </w:rPr>
  </w:style>
  <w:style w:type="paragraph" w:customStyle="1" w:styleId="18">
    <w:name w:val="一级条标题"/>
    <w:next w:val="16"/>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19">
    <w:name w:val="章标题"/>
    <w:next w:val="16"/>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20">
    <w:name w:val="二级条标题"/>
    <w:basedOn w:val="18"/>
    <w:next w:val="16"/>
    <w:qFormat/>
    <w:uiPriority w:val="0"/>
    <w:pPr>
      <w:numPr>
        <w:ilvl w:val="2"/>
      </w:numPr>
      <w:spacing w:before="50" w:after="50"/>
      <w:outlineLvl w:val="3"/>
    </w:pPr>
  </w:style>
  <w:style w:type="paragraph" w:customStyle="1" w:styleId="21">
    <w:name w:val="三级条标题"/>
    <w:basedOn w:val="20"/>
    <w:next w:val="16"/>
    <w:qFormat/>
    <w:uiPriority w:val="0"/>
    <w:pPr>
      <w:numPr>
        <w:ilvl w:val="3"/>
      </w:numPr>
      <w:outlineLvl w:val="4"/>
    </w:pPr>
  </w:style>
  <w:style w:type="paragraph" w:customStyle="1" w:styleId="22">
    <w:name w:val="四级条标题"/>
    <w:basedOn w:val="21"/>
    <w:next w:val="16"/>
    <w:qFormat/>
    <w:uiPriority w:val="0"/>
    <w:pPr>
      <w:numPr>
        <w:ilvl w:val="4"/>
      </w:numPr>
      <w:outlineLvl w:val="5"/>
    </w:pPr>
  </w:style>
  <w:style w:type="paragraph" w:customStyle="1" w:styleId="23">
    <w:name w:val="五级条标题"/>
    <w:basedOn w:val="22"/>
    <w:next w:val="16"/>
    <w:qFormat/>
    <w:uiPriority w:val="0"/>
    <w:pPr>
      <w:numPr>
        <w:ilvl w:val="5"/>
      </w:numPr>
      <w:outlineLvl w:val="6"/>
    </w:pPr>
  </w:style>
  <w:style w:type="paragraph" w:customStyle="1" w:styleId="24">
    <w:name w:val="正文表标题"/>
    <w:next w:val="16"/>
    <w:qFormat/>
    <w:uiPriority w:val="0"/>
    <w:pPr>
      <w:numPr>
        <w:ilvl w:val="0"/>
        <w:numId w:val="2"/>
      </w:numPr>
      <w:spacing w:beforeLines="50" w:afterLines="50"/>
      <w:jc w:val="center"/>
    </w:pPr>
    <w:rPr>
      <w:rFonts w:ascii="黑体" w:hAnsi="Times New Roman" w:eastAsia="黑体" w:cs="Times New Roman"/>
      <w:sz w:val="21"/>
      <w:lang w:val="en-US" w:eastAsia="zh-CN" w:bidi="ar-SA"/>
    </w:rPr>
  </w:style>
  <w:style w:type="paragraph" w:customStyle="1" w:styleId="25">
    <w:name w:val="正文图标题"/>
    <w:next w:val="16"/>
    <w:qFormat/>
    <w:uiPriority w:val="0"/>
    <w:pPr>
      <w:numPr>
        <w:ilvl w:val="0"/>
        <w:numId w:val="3"/>
      </w:numPr>
      <w:tabs>
        <w:tab w:val="left" w:pos="360"/>
      </w:tabs>
      <w:spacing w:beforeLines="50" w:afterLines="50"/>
      <w:jc w:val="center"/>
    </w:pPr>
    <w:rPr>
      <w:rFonts w:ascii="黑体" w:hAnsi="Times New Roman" w:eastAsia="黑体" w:cs="Times New Roman"/>
      <w:sz w:val="21"/>
      <w:lang w:val="en-US" w:eastAsia="zh-CN" w:bidi="ar-SA"/>
    </w:rPr>
  </w:style>
  <w:style w:type="character" w:customStyle="1" w:styleId="26">
    <w:name w:val="页眉 Char"/>
    <w:basedOn w:val="11"/>
    <w:link w:val="6"/>
    <w:qFormat/>
    <w:uiPriority w:val="99"/>
    <w:rPr>
      <w:sz w:val="18"/>
      <w:szCs w:val="18"/>
    </w:rPr>
  </w:style>
  <w:style w:type="character" w:customStyle="1" w:styleId="27">
    <w:name w:val="页脚 Char"/>
    <w:basedOn w:val="11"/>
    <w:link w:val="5"/>
    <w:qFormat/>
    <w:uiPriority w:val="99"/>
    <w:rPr>
      <w:sz w:val="18"/>
      <w:szCs w:val="18"/>
    </w:rPr>
  </w:style>
  <w:style w:type="character" w:customStyle="1" w:styleId="28">
    <w:name w:val="文档结构图 Char"/>
    <w:basedOn w:val="11"/>
    <w:link w:val="2"/>
    <w:semiHidden/>
    <w:qFormat/>
    <w:uiPriority w:val="99"/>
    <w:rPr>
      <w:rFonts w:ascii="宋体" w:eastAsia="宋体"/>
      <w:sz w:val="18"/>
      <w:szCs w:val="18"/>
    </w:rPr>
  </w:style>
  <w:style w:type="paragraph" w:customStyle="1" w:styleId="29">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0">
    <w:name w:val="正文文本缩进 Char"/>
    <w:basedOn w:val="11"/>
    <w:link w:val="3"/>
    <w:qFormat/>
    <w:uiPriority w:val="0"/>
    <w:rPr>
      <w:rFonts w:eastAsia="MS Mincho"/>
      <w:kern w:val="14"/>
      <w:lang w:eastAsia="en-US"/>
    </w:rPr>
  </w:style>
  <w:style w:type="character" w:customStyle="1" w:styleId="31">
    <w:name w:val="标准文件_段 Char"/>
    <w:basedOn w:val="11"/>
    <w:link w:val="32"/>
    <w:qFormat/>
    <w:uiPriority w:val="0"/>
    <w:rPr>
      <w:rFonts w:hint="eastAsia" w:ascii="宋体" w:hAnsi="Times New Roman" w:eastAsia="宋体" w:cs="宋体"/>
      <w:sz w:val="21"/>
    </w:rPr>
  </w:style>
  <w:style w:type="paragraph" w:customStyle="1" w:styleId="32">
    <w:name w:val="标准文件_段"/>
    <w:basedOn w:val="1"/>
    <w:link w:val="31"/>
    <w:qFormat/>
    <w:uiPriority w:val="0"/>
    <w:pPr>
      <w:widowControl/>
      <w:autoSpaceDE w:val="0"/>
      <w:autoSpaceDN w:val="0"/>
      <w:ind w:firstLine="200" w:firstLineChars="200"/>
    </w:pPr>
    <w:rPr>
      <w:rFonts w:hint="eastAsia" w:ascii="宋体" w:hAnsi="Times New Roman" w:eastAsia="宋体" w:cs="Times New Roman"/>
      <w:kern w:val="0"/>
      <w:szCs w:val="20"/>
    </w:rPr>
  </w:style>
  <w:style w:type="paragraph" w:customStyle="1" w:styleId="33">
    <w:name w:val="标准文件_正文标准名称"/>
    <w:basedOn w:val="1"/>
    <w:qFormat/>
    <w:uiPriority w:val="0"/>
    <w:pPr>
      <w:widowControl/>
      <w:spacing w:before="560" w:after="640" w:line="400" w:lineRule="exact"/>
      <w:jc w:val="center"/>
    </w:pPr>
    <w:rPr>
      <w:rFonts w:hint="eastAsia" w:ascii="黑体" w:hAnsi="宋体" w:eastAsia="黑体" w:cs="Times New Roman"/>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0.png"/><Relationship Id="rId13" Type="http://schemas.openxmlformats.org/officeDocument/2006/relationships/image" Target="media/image9.tiff"/><Relationship Id="rId12" Type="http://schemas.openxmlformats.org/officeDocument/2006/relationships/image" Target="media/image8.tiff"/><Relationship Id="rId11" Type="http://schemas.openxmlformats.org/officeDocument/2006/relationships/image" Target="media/image7.png"/><Relationship Id="rId10" Type="http://schemas.openxmlformats.org/officeDocument/2006/relationships/image" Target="media/image6.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7</Pages>
  <Words>4054</Words>
  <Characters>4272</Characters>
  <Lines>31</Lines>
  <Paragraphs>8</Paragraphs>
  <TotalTime>8</TotalTime>
  <ScaleCrop>false</ScaleCrop>
  <LinksUpToDate>false</LinksUpToDate>
  <CharactersWithSpaces>4345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2022-09-02T05:55:00Z</dcterms:created>
  <dc:creator>栾燕</dc:creator>
  <cp:lastModifiedBy>snow_薛</cp:lastModifiedBy>
  <dcterms:modified xsi:type="dcterms:W3CDTF">2022-09-07T02:14:25Z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B21510F75FC44AFD907D89437AD2ADA9</vt:lpwstr>
  </property>
</Properties>
</file>